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sectPr>
      </w:pPr>
    </w:p>
    <w:p>
      <w:pPr>
        <w:spacing w:after="0" w:line="192" w:lineRule="exact"/>
        <w:rPr>
          <w:sz w:val="24"/>
          <w:szCs w:val="24"/>
          <w:color w:val="auto"/>
        </w:rPr>
      </w:pPr>
    </w:p>
    <w:p>
      <w:pPr>
        <w:ind w:left="10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440" w:space="720"/>
            <w:col w:w="92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For Quarterly Period Ended April 30, 2019</w:t>
      </w:r>
    </w:p>
    <w:p>
      <w:pPr>
        <w:sectPr>
          <w:pgSz w:w="11900" w:h="16838" w:orient="portrait"/>
          <w:cols w:equalWidth="0" w:num="1">
            <w:col w:w="11420"/>
          </w:cols>
          <w:pgMar w:left="240" w:top="274" w:right="239" w:bottom="1440" w:gutter="0" w:footer="0" w:header="0"/>
          <w:type w:val="continuous"/>
        </w:sectPr>
      </w:pPr>
    </w:p>
    <w:p>
      <w:pPr>
        <w:spacing w:after="0" w:line="245" w:lineRule="exact"/>
        <w:rPr>
          <w:sz w:val="24"/>
          <w:szCs w:val="24"/>
          <w:color w:val="auto"/>
        </w:rPr>
      </w:pPr>
    </w:p>
    <w:p>
      <w:pPr>
        <w:ind w:left="14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4" w:lineRule="exact"/>
        <w:rPr>
          <w:sz w:val="24"/>
          <w:szCs w:val="24"/>
          <w:color w:val="auto"/>
        </w:rPr>
      </w:pPr>
    </w:p>
    <w:p>
      <w:pPr>
        <w:sectPr>
          <w:pgSz w:w="11900" w:h="16838" w:orient="portrait"/>
          <w:cols w:equalWidth="0" w:num="2">
            <w:col w:w="1420" w:space="720"/>
            <w:col w:w="9280"/>
          </w:cols>
          <w:pgMar w:left="240" w:top="274" w:right="239" w:bottom="1440" w:gutter="0" w:footer="0" w:header="0"/>
          <w:type w:val="continuous"/>
        </w:sect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6200" w:space="620"/>
            <w:col w:w="46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type w:val="continuous"/>
        </w:sectPr>
      </w:pPr>
    </w:p>
    <w:p>
      <w:pPr>
        <w:spacing w:after="0" w:line="222" w:lineRule="exact"/>
        <w:rPr>
          <w:sz w:val="24"/>
          <w:szCs w:val="24"/>
          <w:color w:val="auto"/>
        </w:rPr>
      </w:pPr>
    </w:p>
    <w:p>
      <w:pPr>
        <w:ind w:left="27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82" w:lineRule="exact"/>
        <w:rPr>
          <w:sz w:val="24"/>
          <w:szCs w:val="24"/>
          <w:color w:val="auto"/>
        </w:rPr>
      </w:pPr>
    </w:p>
    <w:p>
      <w:pPr>
        <w:sectPr>
          <w:pgSz w:w="11900" w:h="16838" w:orient="portrait"/>
          <w:cols w:equalWidth="0" w:num="2">
            <w:col w:w="7640" w:space="720"/>
            <w:col w:w="3060"/>
          </w:cols>
          <w:pgMar w:left="240" w:top="274" w:right="23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8" w:lineRule="exact"/>
        <w:rPr>
          <w:sz w:val="24"/>
          <w:szCs w:val="24"/>
          <w:color w:val="auto"/>
        </w:rPr>
      </w:pPr>
    </w:p>
    <w:p>
      <w:pPr>
        <w:sectPr>
          <w:pgSz w:w="11900" w:h="16838" w:orient="portrait"/>
          <w:cols w:equalWidth="0" w:num="2">
            <w:col w:w="7520" w:space="720"/>
            <w:col w:w="31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6140 Stoneridge Mall Road, Suite 590, Pleasanton, CA 94588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8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w:t>
            </w: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Common Stock, $.10 par value</w:t>
            </w: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COO</w:t>
            </w:r>
          </w:p>
        </w:tc>
        <w:tc>
          <w:tcPr>
            <w:tcW w:w="4880" w:type="dxa"/>
            <w:vAlign w:val="bottom"/>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6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04"/>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500"/>
              <w:spacing w:after="0"/>
              <w:rPr>
                <w:sz w:val="20"/>
                <w:szCs w:val="20"/>
                <w:color w:val="auto"/>
              </w:rPr>
            </w:pPr>
            <w:r>
              <w:rPr>
                <w:rFonts w:ascii="Arial" w:cs="Arial" w:eastAsia="Arial" w:hAnsi="Arial"/>
                <w:sz w:val="18"/>
                <w:szCs w:val="18"/>
                <w:color w:val="auto"/>
              </w:rPr>
              <w:t>o</w:t>
            </w:r>
          </w:p>
        </w:tc>
        <w:tc>
          <w:tcPr>
            <w:tcW w:w="494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20" w:type="dxa"/>
            <w:vAlign w:val="bottom"/>
          </w:tcPr>
          <w:p>
            <w:pPr>
              <w:ind w:left="500"/>
              <w:spacing w:after="0"/>
              <w:rPr>
                <w:sz w:val="20"/>
                <w:szCs w:val="20"/>
                <w:color w:val="auto"/>
              </w:rPr>
            </w:pPr>
            <w:r>
              <w:rPr>
                <w:rFonts w:ascii="Arial" w:cs="Arial" w:eastAsia="Arial" w:hAnsi="Arial"/>
                <w:sz w:val="18"/>
                <w:szCs w:val="18"/>
                <w:color w:val="auto"/>
              </w:rPr>
              <w:t>o</w:t>
            </w:r>
          </w:p>
        </w:tc>
        <w:tc>
          <w:tcPr>
            <w:tcW w:w="49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3"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spacing w:after="0" w:line="207" w:lineRule="exact"/>
        <w:tabs>
          <w:tab w:leader="none" w:pos="838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On May 24, 2019, 49,487,752 shares of Common Stock, $.10 par value, were outstanding.</w:t>
      </w:r>
    </w:p>
    <w:p>
      <w:pPr>
        <w:sectPr>
          <w:pgSz w:w="11900" w:h="16838" w:orient="portrait"/>
          <w:cols w:equalWidth="0" w:num="1">
            <w:col w:w="11420"/>
          </w:cols>
          <w:pgMar w:left="240" w:top="274" w:right="239" w:bottom="1440" w:gutter="0" w:footer="0" w:header="0"/>
          <w:type w:val="continuous"/>
        </w:sectPr>
      </w:pPr>
    </w:p>
    <w:bookmarkStart w:id="1" w:name="page2"/>
    <w:bookmarkEnd w:id="1"/>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color w:val="auto"/>
              </w:rPr>
              <w:t>Page No.</w:t>
            </w:r>
          </w:p>
        </w:tc>
      </w:tr>
      <w:tr>
        <w:trPr>
          <w:trHeight w:val="203"/>
        </w:trPr>
        <w:tc>
          <w:tcPr>
            <w:tcW w:w="1380" w:type="dxa"/>
            <w:vAlign w:val="bottom"/>
            <w:gridSpan w:val="3"/>
          </w:tcPr>
          <w:p>
            <w:pPr>
              <w:spacing w:after="0" w:line="202" w:lineRule="exact"/>
              <w:rPr>
                <w:sz w:val="20"/>
                <w:szCs w:val="20"/>
                <w:color w:val="auto"/>
              </w:rPr>
            </w:pPr>
            <w:r>
              <w:rPr>
                <w:rFonts w:ascii="Arial" w:cs="Arial" w:eastAsia="Arial" w:hAnsi="Arial"/>
                <w:sz w:val="18"/>
                <w:szCs w:val="18"/>
                <w:color w:val="auto"/>
              </w:rPr>
              <w:t>PART I.</w:t>
            </w:r>
          </w:p>
        </w:tc>
        <w:tc>
          <w:tcPr>
            <w:tcW w:w="8400" w:type="dxa"/>
            <w:vAlign w:val="bottom"/>
            <w:gridSpan w:val="20"/>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Financial Statements</w:t>
              </w:r>
            </w:hyperlink>
          </w:p>
        </w:tc>
        <w:tc>
          <w:tcPr>
            <w:tcW w:w="6100" w:type="dxa"/>
            <w:vAlign w:val="bottom"/>
            <w:gridSpan w:val="11"/>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(Loss) - Three and Six Months Ended April 30, 2019 and 2018</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Comprehensive Income (Loss) - Three and Six Months Ended April 30, 2019 and</w:t>
              </w:r>
            </w:hyperlink>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2018</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372"/>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Condensed Balance Sheets - April 30, 2019 and October 31, 2018</w:t>
              </w:r>
            </w:hyperlink>
          </w:p>
        </w:tc>
        <w:tc>
          <w:tcPr>
            <w:tcW w:w="2520" w:type="dxa"/>
            <w:vAlign w:val="bottom"/>
            <w:gridSpan w:val="6"/>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Statements of Stockholders' Equity - April 30, 2019 and April 30, 2018</w:t>
              </w:r>
            </w:hyperlink>
          </w:p>
        </w:tc>
        <w:tc>
          <w:tcPr>
            <w:tcW w:w="2140" w:type="dxa"/>
            <w:vAlign w:val="bottom"/>
            <w:gridSpan w:val="5"/>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 Six Months Ended April 30, 2019 and 2018</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2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1260" w:type="dxa"/>
            <w:vAlign w:val="bottom"/>
            <w:gridSpan w:val="3"/>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1940" w:type="dxa"/>
            <w:vAlign w:val="bottom"/>
            <w:gridSpan w:val="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 About Market Risk</w:t>
              </w:r>
            </w:hyperlink>
          </w:p>
        </w:tc>
        <w:tc>
          <w:tcPr>
            <w:tcW w:w="1940" w:type="dxa"/>
            <w:vAlign w:val="bottom"/>
            <w:gridSpan w:val="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gridSpan w:val="6"/>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Controls and Procedures</w:t>
              </w:r>
            </w:hyperlink>
          </w:p>
        </w:tc>
        <w:tc>
          <w:tcPr>
            <w:tcW w:w="2520" w:type="dxa"/>
            <w:vAlign w:val="bottom"/>
            <w:gridSpan w:val="6"/>
          </w:tcPr>
          <w:p>
            <w:pPr>
              <w:spacing w:after="0"/>
              <w:rPr>
                <w:sz w:val="24"/>
                <w:szCs w:val="24"/>
                <w:color w:val="auto"/>
              </w:rPr>
            </w:pPr>
          </w:p>
        </w:tc>
        <w:tc>
          <w:tcPr>
            <w:tcW w:w="4120" w:type="dxa"/>
            <w:vAlign w:val="bottom"/>
            <w:gridSpan w:val="8"/>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8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OTHER INFORMATION</w:t>
              </w:r>
            </w:hyperlink>
          </w:p>
        </w:tc>
        <w:tc>
          <w:tcPr>
            <w:tcW w:w="6520" w:type="dxa"/>
            <w:vAlign w:val="bottom"/>
            <w:gridSpan w:val="13"/>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Risk Factors</w:t>
              </w:r>
            </w:hyperlink>
          </w:p>
        </w:tc>
        <w:tc>
          <w:tcPr>
            <w:tcW w:w="400" w:type="dxa"/>
            <w:vAlign w:val="bottom"/>
          </w:tcPr>
          <w:p>
            <w:pPr>
              <w:spacing w:after="0"/>
              <w:rPr>
                <w:sz w:val="24"/>
                <w:szCs w:val="24"/>
                <w:color w:val="auto"/>
              </w:rPr>
            </w:pPr>
          </w:p>
        </w:tc>
        <w:tc>
          <w:tcPr>
            <w:tcW w:w="7100" w:type="dxa"/>
            <w:vAlign w:val="bottom"/>
            <w:gridSpan w:val="15"/>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0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10"/>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Defaults Upon Senior Securities</w:t>
              </w:r>
            </w:hyperlink>
          </w:p>
        </w:tc>
        <w:tc>
          <w:tcPr>
            <w:tcW w:w="2020" w:type="dxa"/>
            <w:vAlign w:val="bottom"/>
            <w:gridSpan w:val="3"/>
          </w:tcPr>
          <w:p>
            <w:pPr>
              <w:spacing w:after="0"/>
              <w:rPr>
                <w:sz w:val="24"/>
                <w:szCs w:val="24"/>
                <w:color w:val="auto"/>
              </w:rPr>
            </w:pPr>
          </w:p>
        </w:tc>
        <w:tc>
          <w:tcPr>
            <w:tcW w:w="4060" w:type="dxa"/>
            <w:vAlign w:val="bottom"/>
            <w:gridSpan w:val="7"/>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608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6080" w:type="dxa"/>
            <w:vAlign w:val="bottom"/>
            <w:gridSpan w:val="10"/>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640" w:type="dxa"/>
            <w:vAlign w:val="bottom"/>
            <w:gridSpan w:val="1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6640" w:type="dxa"/>
            <w:vAlign w:val="bottom"/>
            <w:gridSpan w:val="1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Exhibits</w:t>
              </w:r>
            </w:hyperlink>
          </w:p>
        </w:tc>
        <w:tc>
          <w:tcPr>
            <w:tcW w:w="700" w:type="dxa"/>
            <w:vAlign w:val="bottom"/>
            <w:gridSpan w:val="2"/>
          </w:tcPr>
          <w:p>
            <w:pPr>
              <w:spacing w:after="0"/>
              <w:rPr>
                <w:sz w:val="24"/>
                <w:szCs w:val="24"/>
                <w:color w:val="auto"/>
              </w:rPr>
            </w:pPr>
          </w:p>
        </w:tc>
        <w:tc>
          <w:tcPr>
            <w:tcW w:w="7100" w:type="dxa"/>
            <w:vAlign w:val="bottom"/>
            <w:gridSpan w:val="15"/>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507"/>
        </w:trPr>
        <w:tc>
          <w:tcPr>
            <w:tcW w:w="1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3"/>
          </w:tcPr>
          <w:p>
            <w:pPr>
              <w:ind w:left="4240"/>
              <w:spacing w:after="0"/>
              <w:rPr>
                <w:sz w:val="20"/>
                <w:szCs w:val="20"/>
                <w:color w:val="auto"/>
              </w:rPr>
            </w:pPr>
            <w:r>
              <w:rPr>
                <w:rFonts w:ascii="Arial" w:cs="Arial" w:eastAsia="Arial" w:hAnsi="Arial"/>
                <w:sz w:val="18"/>
                <w:szCs w:val="18"/>
                <w:color w:val="auto"/>
                <w:w w:val="79"/>
              </w:rPr>
              <w:t>2</w:t>
            </w: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Six Months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(Note 2)</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sale of an intangible (Note 5)</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 (Note 7)</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share - basic (Note 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share - diluted (Note 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Number of shares used to compute earnings (loss)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0" w:right="2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Six Months</w:t>
            </w:r>
          </w:p>
        </w:tc>
        <w:tc>
          <w:tcPr>
            <w:tcW w:w="1020" w:type="dxa"/>
            <w:vAlign w:val="bottom"/>
            <w:tcBorders>
              <w:bottom w:val="single" w:sz="8" w:color="auto"/>
            </w:tcBorders>
          </w:tcPr>
          <w:p>
            <w:pPr>
              <w:spacing w:after="0"/>
              <w:rPr>
                <w:sz w:val="16"/>
                <w:szCs w:val="16"/>
                <w:color w:val="auto"/>
              </w:rPr>
            </w:pPr>
          </w:p>
        </w:tc>
      </w:tr>
      <w:tr>
        <w:trPr>
          <w:trHeight w:val="263"/>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122.4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 net of tax</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59.3</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103.8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0" w:right="239" w:bottom="1440" w:gutter="0" w:footer="0" w:header="0"/>
        </w:sectPr>
      </w:pPr>
    </w:p>
    <w:bookmarkStart w:id="4" w:name="page5"/>
    <w:bookmarkEnd w:id="4"/>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30, 2019</w:t>
            </w:r>
          </w:p>
        </w:tc>
        <w:tc>
          <w:tcPr>
            <w:tcW w:w="260" w:type="dxa"/>
            <w:vAlign w:val="bottom"/>
          </w:tcPr>
          <w:p>
            <w:pPr>
              <w:spacing w:after="0"/>
              <w:rPr>
                <w:sz w:val="16"/>
                <w:szCs w:val="16"/>
                <w:color w:val="auto"/>
              </w:rPr>
            </w:pPr>
          </w:p>
        </w:tc>
        <w:tc>
          <w:tcPr>
            <w:tcW w:w="156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31, 2018</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4"/>
              </w:rPr>
              <w:t>Trade accounts receivable, net of allowance for doubtful accounts of $17.2 at April 30, 2019 and</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$19.0 at October 31, 2018</w:t>
            </w:r>
          </w:p>
        </w:tc>
        <w:tc>
          <w:tcPr>
            <w:tcW w:w="30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(Note 4)</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 and other current assets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2,038.2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1,032.7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(Note 5)</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intangibles, net (Note 5)</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1,474.1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1,521.3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debt (Note 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940.9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(Note 6)</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tax payable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pension liability and other</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2,805.0</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Contingencies (see Note 13)</w:t>
            </w: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w w:val="97"/>
              </w:rPr>
              <w:t>Preferred stock, 10 cents par value, shares authorized: 1.0; zero shares issued or outstanding</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10 cents par value, shares authorized: 120.0; issued 53.1 at April 30, 2019 and 52.8</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 October 31, 2018</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1,587.7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1,572.1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2,786.8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3.6 shares at April 30, 2019 and 3.6 shares at October 31, 2018</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Stockholders’ equity (Note 10)</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6,203.4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Condensed Statements of Stockholders' Equity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Shares</w:t>
            </w:r>
          </w:p>
        </w:tc>
        <w:tc>
          <w:tcPr>
            <w:tcW w:w="142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Treasury Stock</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line="20" w:lineRule="exact"/>
              <w:rPr>
                <w:sz w:val="1"/>
                <w:szCs w:val="1"/>
                <w:color w:val="auto"/>
              </w:rPr>
            </w:pPr>
          </w:p>
        </w:tc>
        <w:tc>
          <w:tcPr>
            <w:tcW w:w="7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7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Treasury</w:t>
            </w:r>
          </w:p>
        </w:tc>
        <w:tc>
          <w:tcPr>
            <w:tcW w:w="112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06"/>
        </w:trPr>
        <w:tc>
          <w:tcPr>
            <w:tcW w:w="2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74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3"/>
                <w:szCs w:val="13"/>
                <w:color w:val="auto"/>
              </w:rPr>
            </w:pPr>
          </w:p>
        </w:tc>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6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3"/>
                <w:szCs w:val="13"/>
                <w:color w:val="auto"/>
              </w:rPr>
            </w:pPr>
          </w:p>
        </w:tc>
        <w:tc>
          <w:tcPr>
            <w:tcW w:w="72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November 1, 2017</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3,175.8</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w w:val="93"/>
              </w:rPr>
              <w:t>Issuance of common stock for stock plans, net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Dividends on common stock</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Balance at January 31, 2018</w:t>
            </w:r>
          </w:p>
        </w:tc>
        <w:tc>
          <w:tcPr>
            <w:tcW w:w="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1,528.8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2,310.3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3,156.4</w:t>
            </w:r>
          </w:p>
        </w:tc>
        <w:tc>
          <w:tcPr>
            <w:tcW w:w="0" w:type="dxa"/>
            <w:vAlign w:val="bottom"/>
          </w:tcPr>
          <w:p>
            <w:pPr>
              <w:spacing w:after="0"/>
              <w:rPr>
                <w:sz w:val="1"/>
                <w:szCs w:val="1"/>
                <w:color w:val="auto"/>
              </w:rPr>
            </w:pPr>
          </w:p>
        </w:tc>
      </w:tr>
      <w:tr>
        <w:trPr>
          <w:trHeight w:val="250"/>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w w:val="93"/>
              </w:rPr>
              <w:t>Issuance of common stock for stock plans, net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Balance at April 30, 2018</w:t>
            </w:r>
          </w:p>
        </w:tc>
        <w:tc>
          <w:tcPr>
            <w:tcW w:w="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1,542.5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(316.0)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2,371.2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3,188.0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November 1, 2018</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3,307.8</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w w:val="93"/>
              </w:rPr>
              <w:t>Issuance of common stock for stock plans, net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Treasury stock repurchase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Dividends on common stock</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 xml:space="preserve">ASU 2016-16 adoption </w:t>
            </w:r>
            <w:r>
              <w:rPr>
                <w:rFonts w:ascii="Arial" w:cs="Arial" w:eastAsia="Arial" w:hAnsi="Arial"/>
                <w:sz w:val="8"/>
                <w:szCs w:val="8"/>
                <w:color w:val="auto"/>
              </w:rPr>
              <w:t>(1)</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Balance at January 31, 2019</w:t>
            </w:r>
          </w:p>
        </w:tc>
        <w:tc>
          <w:tcPr>
            <w:tcW w:w="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1,574.8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2,664.4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3,425.5</w:t>
            </w:r>
          </w:p>
        </w:tc>
        <w:tc>
          <w:tcPr>
            <w:tcW w:w="0" w:type="dxa"/>
            <w:vAlign w:val="bottom"/>
          </w:tcPr>
          <w:p>
            <w:pPr>
              <w:spacing w:after="0"/>
              <w:rPr>
                <w:sz w:val="1"/>
                <w:szCs w:val="1"/>
                <w:color w:val="auto"/>
              </w:rPr>
            </w:pPr>
          </w:p>
        </w:tc>
      </w:tr>
      <w:tr>
        <w:trPr>
          <w:trHeight w:val="250"/>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w w:val="93"/>
              </w:rPr>
              <w:t>Issuance of common stock for stock plans, net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Balance at April 30, 2019</w:t>
            </w:r>
          </w:p>
        </w:tc>
        <w:tc>
          <w:tcPr>
            <w:tcW w:w="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1,587.7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(416.6)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2,786.8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3,542.2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1" w:lineRule="exact"/>
        <w:rPr>
          <w:sz w:val="20"/>
          <w:szCs w:val="20"/>
          <w:color w:val="auto"/>
        </w:rPr>
      </w:pPr>
    </w:p>
    <w:p>
      <w:pPr>
        <w:ind w:right="20" w:firstLine="8"/>
        <w:spacing w:after="0" w:line="246" w:lineRule="auto"/>
        <w:tabs>
          <w:tab w:leader="none" w:pos="167" w:val="left"/>
        </w:tabs>
        <w:numPr>
          <w:ilvl w:val="0"/>
          <w:numId w:val="1"/>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We adopted ASU 2016-16, Income Taxes (Topic 740): Intra-Entity Transfers of Assets Other Than Inventory in the first quarter of fiscal 2019. Refer to “Note 1. General" for further information.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1" w:right="239" w:bottom="1440" w:gutter="0" w:footer="0" w:header="0"/>
        </w:sectPr>
      </w:pPr>
    </w:p>
    <w:bookmarkStart w:id="6" w:name="page7"/>
    <w:bookmarkEnd w:id="6"/>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Gain on sale of an intangible (Note 5)</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intangibles</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Increase in operating capital</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businesses and assets, net of cash acquired, and other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1,946.1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long-term debt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(938.8)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proceeds from short-term debt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payments related to share-based compensation awards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Dividends on common stock</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Debt acquisition costs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contingent consideration</w:t>
            </w: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(108.7)</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Reconciliation of cash flow information:</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General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interim consolidated condensed financial statements and related notes should be read in conjunction with the audited Consolidated Financial Statements of the Cooper Companies, Inc. and its subsidiaries (the Company) and related notes as contained in the Company’s Annual Report on Form 10-K for the fiscal year ended October 31, 2018. The unaudited interim financial statements include all adjustments (consisting only of normal recurring adjustments) and accruals necessary in the judgment of management for a fair statement of the results for the periods presented. Readers should not assume that the results reported here either indicate or guarantee future performance. The terms "the Company", "we", "us", and "our" are used to refer collectively to the Cooper Companies, Inc. and its subsidiaries.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2017, the Financial Accounting Standards Board (FASB) issued Accounting Standards Update (ASU) 2017-07,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xml:space="preserve"> </w:t>
      </w:r>
      <w:r>
        <w:rPr>
          <w:rFonts w:ascii="Arial" w:cs="Arial" w:eastAsia="Arial" w:hAnsi="Arial"/>
          <w:sz w:val="18"/>
          <w:szCs w:val="18"/>
          <w:i w:val="1"/>
          <w:iCs w:val="1"/>
          <w:color w:val="auto"/>
        </w:rPr>
        <w:t>(Topic 715): Improving the Presentation of Net Periodic Pension Cost and Net Periodic Postretirement Benefit Cost</w:t>
      </w:r>
      <w:r>
        <w:rPr>
          <w:rFonts w:ascii="Arial" w:cs="Arial" w:eastAsia="Arial" w:hAnsi="Arial"/>
          <w:sz w:val="18"/>
          <w:szCs w:val="18"/>
          <w:color w:val="auto"/>
        </w:rPr>
        <w:t>. The ASU requires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 the service cost component from the other components of net benefit cost. The service cost component is now presented in the same income statement line as other compensation costs arising from services rendered by the pertinent employees during the period and the other components of net benefit costs are presented separately as other income/expense below operating income. The Company adopted this guidance on November 1, 2018, and it did not have a material impact on the Company’s reported financial results.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requires entities to recognize the income tax consequences on an intra-entity transfer of an asset other than inventory when the transfer occurs. The ASU changes the timing of the recognition of the income tax consequences of non-inventory transfers which under current guidance defers the income tax consequences until the asset is sold to an outside party or otherwise recognized. The guidance for the amendments of ASU 2016-16 requires companies to apply a modified retrospective approach with a cumulative catch-up adjustment to opening retained earnings in the period of adoption. The Company adopted ASU 2016-16 in the first quarter of fiscal 2019 on a modified retrospective basis. The Company recorded the cumulative effect of the change as a decrease to retained earnings of approximately $13.3 million. The cumulative effect adjustment represents the recognition of unrecognized income tax effects from intra-entity transfers of assets other than inventory that occurred prior to the date of adoption.</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ASU requires revenue recognition to depict the transfer of goods or services to customers at an amount that reflects the consideration to which the entity expects to be entitled in exchange for those goods or services. The amendments in the ASU can be applied either retrospectively to each prior reporting period presented or alternatively, the modified retrospective transition method whereby the company recognizes the cumulative effect of initially applying the guidance as an opening balance sheet adjustment to equity in the period of initial application. This alternative approach must be supplemented by additional disclosures.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adopted ASU 2014-09 on November 1, 2018, using the modified retrospective transition method. We did not recognize any cumulative effect of initially applying the new revenue standard as an adjustment to our opening balance of retained earnings due to its immaterial impact. The comparative information has not been restated and continues to be reported under the accounting standards in effect for those periods. There was no material impact of ASC 606 to our financial statements during the three and six months ended April 30, 2019. We do not expect the adoption of the new revenue standard to have a material impact to our net income on an ongoing basis.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The Company applies the provisions of Accounting Standards Codification (ASC) 606-10 or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related appropriate guidance. The Company recognizes revenue under the core principle to depict the transfer of control to the Company’s customers in an amount reflecting the consideration to which the Company expects to be entitled. In order to achieve that core principle, the Company applies the following five step approach: (1) identify the contract with a customer, (2) identify the performance obligations in the contract, (3) determine the transaction price, (4) allocate the transaction price to the performance obligations in the contract, and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4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recognize revenue when a performance obligation is satisfied. For a complete discussion of accounting for net product revenue, see Note 2. Revenue Recognition.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This guidance amended ASC 808 and ASC 606 to clarify that transactions in a collaborative arrangement should be accounted for under ASC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We are currently evaluating the impact of ASU 2018-18 which is effective for the Company in our fiscal year and interim periods beginning on November 1, 2020.</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 - Internal 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This guidance requires companies to apply the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guidance in ASC 350-40 to implementation costs incurred in a hosting arrangement that is a service contract to determine whether to capitalize certain implementation costs or expense them as incurred. We are currently evaluating the impact of ASU 2018-15 which is effective for the Company in our fiscal year and interim periods beginning on November 1, 2020.</w:t>
      </w:r>
    </w:p>
    <w:p>
      <w:pPr>
        <w:spacing w:after="0" w:line="18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requires that a lessee recognize the assets and liabilities that arise from operating leases. A lessee should recognize in the statement of financial position a liability to make lease payments (the lease liability) and a right-of-use (ROU)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In July 2018, the FASB issued ASU 2018-10, </w:t>
      </w:r>
      <w:r>
        <w:rPr>
          <w:rFonts w:ascii="Arial" w:cs="Arial" w:eastAsia="Arial" w:hAnsi="Arial"/>
          <w:sz w:val="17"/>
          <w:szCs w:val="17"/>
          <w:i w:val="1"/>
          <w:iCs w:val="1"/>
          <w:color w:val="auto"/>
        </w:rPr>
        <w:t>Codification Improvements to Topic 842, Leases and ASU 2018-11, Leases Topic 842 Target improvements</w:t>
      </w:r>
      <w:r>
        <w:rPr>
          <w:rFonts w:ascii="Arial" w:cs="Arial" w:eastAsia="Arial" w:hAnsi="Arial"/>
          <w:sz w:val="17"/>
          <w:szCs w:val="17"/>
          <w:color w:val="auto"/>
        </w:rPr>
        <w:t xml:space="preserve">, which provides an additional (and optional) transition method whereby the new lease standard is applied at the adoption date and recognized as an adjustment to retained earnings. In March 2019, the FASB issued </w:t>
      </w:r>
      <w:r>
        <w:rPr>
          <w:rFonts w:ascii="Arial" w:cs="Arial" w:eastAsia="Arial" w:hAnsi="Arial"/>
          <w:sz w:val="17"/>
          <w:szCs w:val="17"/>
          <w:i w:val="1"/>
          <w:iCs w:val="1"/>
          <w:color w:val="auto"/>
        </w:rPr>
        <w:t>ASU 2019-01, Leases (Topic 842) Codification Improvements</w:t>
      </w:r>
      <w:r>
        <w:rPr>
          <w:rFonts w:ascii="Arial" w:cs="Arial" w:eastAsia="Arial" w:hAnsi="Arial"/>
          <w:sz w:val="17"/>
          <w:szCs w:val="17"/>
          <w:color w:val="auto"/>
        </w:rPr>
        <w:t>, which further clarifies the determination of fair value of leases and modifies transition disclosure requirements for changes in accounting principles and other technical updates. This standard is effective for the Company in our fiscal year and interim periods beginning on November 1, 2019.</w:t>
      </w:r>
    </w:p>
    <w:p>
      <w:pPr>
        <w:spacing w:after="0" w:line="17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anticipate this standard to have a material impact on our Consolidated Balance Sheets and related disclosures due to the recognition of ROU assets and lease liabilities for operating leases. However, we do not expect adoption to have a material impact on our Consolidated Income Statements. We are continuing to assess and evaluate the potential impacts of the standard as well as the election of transition method and certain practical expedients available within the ASU. We are in the process of documenting and analyzing our lease contracts, assessing business processes and controls, implementing a system solution and completing our analysis of information necessary to determine the impact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Factoring Program</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may factor certain designated trade receivables with one or more third party financial institutions pursuant to a factoring agreement. These are non-recourse factoring arrangements to assist us in managing operating cash flow and meet the requirements to be accounted for as sales in accordance with the “Transfers and Servicing” guidance in ASC 860, where the Company’s continuing involvement subsequent to the transfer is limited to providing certain servicing and collection actions on behalf of the purchasers of the designated trade receivables. Proceeds from amounts factored by the Company are recorded as an increase to cash and a reduction to accounts receivable outstanding in the Company's Consolidated Balance Sheets. Cash flows attributable to factoring are reflected as cash flows from operating activities in the Company’s Consolidated Statements of Cash Flows. Factoring fees associated with the sale of factored receivables for the three and six months ended April 30, 2019 were $0.5 million and $0.9 million respectively and were minimal for the three and six months ended April 30, 2018.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Revenue 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sells its products principally to a limited number of distributors, group purchasing organizations, eye care or health care professionals including independent practices, corporate retailers, hospitals and clinics or authorized resellers (collectively, its Customers). These Customers subsequently resell the Company’s products to eye care or health care providers and patients. In addition to product supply and distribution agreements with Customers, the Company enters into arrangements with health care providers and payors that provide for government-mandated and/or privately-negotiated rebates, chargebacks and discounts with respect to the purchase of the Company’s products. The Company considers customer purchase orders, which in some cases are governed by master sales agreements, to be contracts with a customer. In situations where sales are to a distributor, the Company has concluded that its contracts are with the distributor. As part of its consideration of the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6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Revenues from product sales are recognized when the Customer obtains control of the Company’s product, which occurs at a point in time, typically upon shipment or delivery to the Customer. When the Company performs shipping and handling activities after the transfer of control to the Customer (e.g., when control transfers prior to delivery), they are considered as fulfillment activities, and accordingly, the costs are accrued for when the related revenue is recognized. Taxes collected from Customers relating to product sales and remitted to governmental authorities are excluded from revenues. The Company does not have any revenue recognized on payment expected to be received more than one year after the transfer of control of the products. The Company expenses incremental costs of obtaining a contract as and when incurred if the expected amortization period of the asset that the Company would have recognized is one year or less. See Note14. Business Segment Information, for disaggregation of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Variable Consideration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from product sales are recorded at the net sales price (transaction price), which includes estimates of variable consideration for which reserves are established and which result from discounts, returns, chargebacks, rebates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primarily in current liability.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applies that method consistently.</w:t>
      </w:r>
    </w:p>
    <w:p>
      <w:pPr>
        <w:spacing w:after="0" w:line="189"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Discounts and Allowances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generally provides Customers with discounts, which include incentive fees that are stated in the Company’s contracts and are recorded as a reduction of revenue in the period the related product revenue is recognized. In addition, the Company receives sales order management, data and distribution services from certain Customers. To the extent the services received are distinct from the Company’s sale of products to the Customer and have readily determinable fair value, these payments are classified in selling, general and administrative expenses in the consolidated statements of income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Returns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Consistent with industry practice, the Company generally offers Customers a limited right of return for a product that has been purchased from the Company. The Company estimates the amount of its product sales that may be returned by 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Customers and records this estimate as a reduction of revenue in the period the related product revenue is recognized. There is inherent judgment in estimating future refunds as they are susceptible to factors outside of our influence. However, we have significant experience in estimating the amount of refunds, based primarily on historical data. Our refund liability for product returns was $10.6 million at April 30, 2019 which is included in Accrued liabilities on our Condensed Consolidated Balance Sheets and represents the expected value of the aggregate refunds that will be due to our customers.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Rebates and Chargebacks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Rebates are estimated based on contractual terms, historical experience, customer mix, trend analysis and projected market conditions in the various markets served.</w:t>
      </w:r>
    </w:p>
    <w:p>
      <w:pPr>
        <w:spacing w:after="0" w:line="170"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Chargebacks for fees and discounts to providers represent the estimated obligations resulting from contractual commitments to sell products to qualified healthcare providers at prices lower than the list wholesale prices charged to the Company’s direct customers. For certain office and surgical products in CooperSurgical,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Chargeback amounts are generally determined at the time of resale to the qualified healthcare provider by Customers. CooperSurgical rebates are predominately related to the Medicaid rebate provision that is estimated based upon contractual terms, historical experience, and trend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timing of billing and revenue recognition primarily occurs simultaneously. The Company does not have material contract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allocation of the total purchase consideration for business and asset acquisitions that the Company completed during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30, 2019</w:t>
            </w:r>
          </w:p>
        </w:tc>
        <w:tc>
          <w:tcPr>
            <w:tcW w:w="260" w:type="dxa"/>
            <w:vAlign w:val="bottom"/>
          </w:tcPr>
          <w:p>
            <w:pPr>
              <w:spacing w:after="0"/>
              <w:rPr>
                <w:sz w:val="14"/>
                <w:szCs w:val="14"/>
                <w:color w:val="auto"/>
              </w:rPr>
            </w:pPr>
          </w:p>
        </w:tc>
        <w:tc>
          <w:tcPr>
            <w:tcW w:w="1560" w:type="dxa"/>
            <w:vAlign w:val="bottom"/>
          </w:tcPr>
          <w:p>
            <w:pPr>
              <w:jc w:val="right"/>
              <w:ind w:right="292"/>
              <w:spacing w:after="0"/>
              <w:rPr>
                <w:sz w:val="20"/>
                <w:szCs w:val="20"/>
                <w:color w:val="auto"/>
              </w:rPr>
            </w:pPr>
            <w:r>
              <w:rPr>
                <w:rFonts w:ascii="Arial" w:cs="Arial" w:eastAsia="Arial" w:hAnsi="Arial"/>
                <w:sz w:val="14"/>
                <w:szCs w:val="14"/>
                <w:b w:val="1"/>
                <w:bCs w:val="1"/>
                <w:color w:val="auto"/>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Composite intangible asset</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1,061.9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Total identifiable intangible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1,189.6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Net tangible assets</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59.6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the acquisitions were funded by cash generated from operations or facility borrowings.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business acquisitions, we recorded the tangible and intangible assets acquired and liabilities assumed at their fair values as of the applicable date of acquisition. For assets acquisitions, we recorded the tangible and intangible assets acquired and liabilities assumed at their estimated and relative fair values as of the applicable date of acquisition.</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believe these acquisitions strengthen CooperSurgical's and CooperVision's businesses through the addition of new or complementary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w:t>
      </w:r>
    </w:p>
    <w:p>
      <w:pPr>
        <w:spacing w:after="0" w:line="22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On December 31, 2018, CooperSurgical completed the acquisition of Incisive Surgical Inc., a privately-held U.S. medical device company that develops mechanical surgical solutions for skin closure. The purchase price allocation is preliminary and we are in the process of finalizing information primarily related to taxes and the corresponding impact on goodwill.</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December 28, 2018, CooperVision completed the acquisition of Blanchard Contact Lenses. Blanchard is a privately-held scleral lens company, which expands CooperVision's specialty and scleral lens portfolio. The purchase price allocation is preliminary and we are in the process of finalizing information primarily related to accrued liabilities, other assets, taxes and the corresponding impact on goodwill.</w:t>
      </w:r>
    </w:p>
    <w:p>
      <w:pPr>
        <w:spacing w:after="0" w:line="12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effects of the business combinations described above, individually and in the aggregate, were not material to our 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PARAGARD</w:t>
      </w:r>
    </w:p>
    <w:p>
      <w:pPr>
        <w:spacing w:after="0" w:line="229"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On November 1, 2017, CooperSurgical acquired the assets of the PARAGARD Intrauterine Device (IUD) business (PARAGARD) from Teva Pharmaceuticals Industries Limited for $1.1 billion. This asset acquisition broadened and strengthened CooperSurgical's product portfolio.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the only hormone-free, long lasting, reversible contraceptive approved by the United States Food and Drug Administration (FDA) available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relative fair values of net assets acquired and liabilities assumed using the cost accumulation and allocation model: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gridSpan w:val="3"/>
          </w:tcPr>
          <w:p>
            <w:pPr>
              <w:ind w:left="4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17"/>
                <w:szCs w:val="17"/>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Relative Fair Value</w:t>
            </w:r>
          </w:p>
        </w:tc>
      </w:tr>
      <w:tr>
        <w:trPr>
          <w:trHeight w:val="48"/>
        </w:trPr>
        <w:tc>
          <w:tcPr>
            <w:tcW w:w="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86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64"/>
        </w:trPr>
        <w:tc>
          <w:tcPr>
            <w:tcW w:w="96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Composite intangible asset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1,061.9</w:t>
            </w:r>
          </w:p>
        </w:tc>
      </w:tr>
      <w:tr>
        <w:trPr>
          <w:trHeight w:val="270"/>
        </w:trPr>
        <w:tc>
          <w:tcPr>
            <w:tcW w:w="96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Assembled workforce intangible asset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96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Inventory </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37"/>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1,121.8</w:t>
            </w: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liabilities assumed</w:t>
            </w: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37"/>
        </w:trPr>
        <w:tc>
          <w:tcPr>
            <w:tcW w:w="96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1,105.4</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proportionally allocated the acquisition costs to the net assets acquired. The acquisition-related costs included advisory, legal, valuation and other professional fees.</w:t>
      </w:r>
    </w:p>
    <w:p>
      <w:pPr>
        <w:spacing w:after="0" w:line="170" w:lineRule="exact"/>
        <w:rPr>
          <w:sz w:val="20"/>
          <w:szCs w:val="20"/>
          <w:color w:val="auto"/>
        </w:rPr>
      </w:pPr>
    </w:p>
    <w:p>
      <w:pPr>
        <w:ind w:right="280" w:firstLine="8"/>
        <w:spacing w:after="0" w:line="276" w:lineRule="auto"/>
        <w:tabs>
          <w:tab w:leader="none" w:pos="178" w:val="left"/>
        </w:tabs>
        <w:numPr>
          <w:ilvl w:val="0"/>
          <w:numId w:val="3"/>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Composite Intangible asset consists of technology, trade name, New Drug Application (NDA) approval and physician relationships, which have been valued as a single composite intangible asset as they are inextricably linked. The composite asset was identified as the primary asset acquired, was valued using the Multi-Period Excess Earnings Method and will be amortized over 15 years.</w:t>
      </w:r>
    </w:p>
    <w:p>
      <w:pPr>
        <w:spacing w:after="0" w:line="1" w:lineRule="exact"/>
        <w:rPr>
          <w:rFonts w:ascii="Arial" w:cs="Arial" w:eastAsia="Arial" w:hAnsi="Arial"/>
          <w:sz w:val="20"/>
          <w:szCs w:val="20"/>
          <w:i w:val="1"/>
          <w:iCs w:val="1"/>
          <w:color w:val="auto"/>
          <w:vertAlign w:val="superscript"/>
        </w:rPr>
      </w:pPr>
    </w:p>
    <w:p>
      <w:pPr>
        <w:ind w:left="180" w:hanging="172"/>
        <w:spacing w:after="0" w:line="214" w:lineRule="auto"/>
        <w:tabs>
          <w:tab w:leader="none" w:pos="180"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An assembled workforce was recognized as a separate acquired intangible asset, given the purchase of assets and will be amortized over 5 years.</w:t>
      </w:r>
    </w:p>
    <w:p>
      <w:pPr>
        <w:spacing w:after="0" w:line="2" w:lineRule="exact"/>
        <w:rPr>
          <w:rFonts w:ascii="Arial" w:cs="Arial" w:eastAsia="Arial" w:hAnsi="Arial"/>
          <w:sz w:val="21"/>
          <w:szCs w:val="21"/>
          <w:i w:val="1"/>
          <w:iCs w:val="1"/>
          <w:color w:val="auto"/>
          <w:vertAlign w:val="superscript"/>
        </w:rPr>
      </w:pPr>
    </w:p>
    <w:p>
      <w:pPr>
        <w:ind w:left="180" w:hanging="172"/>
        <w:spacing w:after="0" w:line="213" w:lineRule="auto"/>
        <w:tabs>
          <w:tab w:leader="none" w:pos="180"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Inventory relative fair value includes step up of $45.4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April 3, 2018, CooperSurgical completed the acquisition of The LifeGlobal Group (LifeGlobal). LifeGlobal was a privately held company that specializes primarily in in-vitro fertilization (IVF) media. LifeGlobal’s product categories include media products as well as IVF laboratory air filtration products and dishware. We have completed the purchase price allocation for this acquisition.</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January 4, 2018, CooperVision acquired Blueyes Ltd, a long-standing distribution partner, with a leading position in the distribution of contact lenses to the Optical and Pharmacy sector in Israel. We have completed the purchase price allocation for this acquisition.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December 1, 2017, CooperVision acquired Paragon Vision Sciences, a leading provider of orthokeratology (ortho-k) specialty contact lenses and oxygen permeable rigid contact lens materials. Ortho-k contact lenses are overnight lenses which enable corneal topography correction for myopia (nearsightedness) patients. We have completed the purchase price allocation for this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Inventories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April 30, 2019</w:t>
            </w:r>
          </w:p>
        </w:tc>
        <w:tc>
          <w:tcPr>
            <w:tcW w:w="300" w:type="dxa"/>
            <w:vAlign w:val="bottom"/>
          </w:tcPr>
          <w:p>
            <w:pPr>
              <w:spacing w:after="0"/>
              <w:rPr>
                <w:sz w:val="14"/>
                <w:szCs w:val="14"/>
                <w:color w:val="auto"/>
              </w:rPr>
            </w:pPr>
          </w:p>
        </w:tc>
        <w:tc>
          <w:tcPr>
            <w:tcW w:w="1740" w:type="dxa"/>
            <w:vAlign w:val="bottom"/>
          </w:tcPr>
          <w:p>
            <w:pPr>
              <w:jc w:val="right"/>
              <w:ind w:right="414"/>
              <w:spacing w:after="0"/>
              <w:rPr>
                <w:sz w:val="20"/>
                <w:szCs w:val="20"/>
                <w:color w:val="auto"/>
              </w:rPr>
            </w:pPr>
            <w:r>
              <w:rPr>
                <w:rFonts w:ascii="Arial" w:cs="Arial" w:eastAsia="Arial" w:hAnsi="Arial"/>
                <w:sz w:val="14"/>
                <w:szCs w:val="14"/>
                <w:b w:val="1"/>
                <w:bCs w:val="1"/>
                <w:color w:val="auto"/>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112.5</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3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12.6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343.7</w:t>
            </w: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493.1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468.8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CooperVision</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CooperSurgical</w:t>
            </w:r>
          </w:p>
        </w:tc>
        <w:tc>
          <w:tcPr>
            <w:tcW w:w="380" w:type="dxa"/>
            <w:vAlign w:val="bottom"/>
          </w:tcPr>
          <w:p>
            <w:pPr>
              <w:spacing w:after="0"/>
              <w:rPr>
                <w:sz w:val="14"/>
                <w:szCs w:val="14"/>
                <w:color w:val="auto"/>
              </w:rPr>
            </w:pP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October 31,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2,354.8</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additions during the year ended October 31, 2018</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71.2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2018</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2,392.1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additions during the six months ended April 30, 2019</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Translation</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April 30,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2,438.5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the three months ended April 30, 2019, there was a change in the reporting units as a result of realignment in the internal reporting structure of the business around markets and customers at CooperSurgical. As such, Cooper Surgical has evolved into two reporting units, namely, Office/Surgical and Fertility, which reflects management oversight of operations. These reporting units, including CooperVision, will be tested for potential goodwill impairment annually as of the third quarter of each fiscal year. The change in reporting units did not result in a change in operating segments. We allocated CooperSurgical's goodwill based on relative fair values utilizing the discounted cash flow method and guideline public company method as our allocation base, and the allocated fair values exceeded the carrying values for each of the three reporting units as of April 30, 2019.</w:t>
      </w:r>
    </w:p>
    <w:p>
      <w:pPr>
        <w:spacing w:after="0" w:line="178"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Company evaluates goodwill for impairment annually during the fiscal third quarter and when an event occurs, or circumstances change such that it is reasonably possible that impairment may exist. The Company accounts for goodwill and evaluates its goodwill balances and tests them for impairment in accordance with related accounting standards. The Company performs impairment tests of goodwill at the reporting unit level, which is one level below operating segments. Reporting units are identified as components for which discrete financial information is available and is regularly reviewed by management. Under the impairment test, if a reporting unit’s carrying amount exceeds its estimated fair value, goodwill impairment is recognized to the extent that the carrying amount of goodwill exceeds the fair value of the goodwill. The Company performed its annual impairment assessment in its third quarters of fiscal 2018 and fiscal 2017 respectively, and its analysis indicated that the Company had no impairment of goodwill.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800"/>
              <w:spacing w:after="0"/>
              <w:rPr>
                <w:sz w:val="20"/>
                <w:szCs w:val="20"/>
                <w:color w:val="auto"/>
              </w:rPr>
            </w:pPr>
            <w:r>
              <w:rPr>
                <w:rFonts w:ascii="Arial" w:cs="Arial" w:eastAsia="Arial" w:hAnsi="Arial"/>
                <w:sz w:val="14"/>
                <w:szCs w:val="14"/>
                <w:b w:val="1"/>
                <w:bCs w:val="1"/>
                <w:color w:val="auto"/>
              </w:rPr>
              <w:t>April 30, 2019</w:t>
            </w:r>
          </w:p>
        </w:tc>
        <w:tc>
          <w:tcPr>
            <w:tcW w:w="160" w:type="dxa"/>
            <w:vAlign w:val="bottom"/>
          </w:tcPr>
          <w:p>
            <w:pPr>
              <w:spacing w:after="0"/>
              <w:rPr>
                <w:sz w:val="16"/>
                <w:szCs w:val="16"/>
                <w:color w:val="auto"/>
              </w:rPr>
            </w:pPr>
          </w:p>
        </w:tc>
        <w:tc>
          <w:tcPr>
            <w:tcW w:w="256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October 31, 2018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6"/>
        </w:trPr>
        <w:tc>
          <w:tcPr>
            <w:tcW w:w="4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24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Gross Carrying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Period (In years)</w:t>
            </w:r>
          </w:p>
        </w:tc>
        <w:tc>
          <w:tcPr>
            <w:tcW w:w="0" w:type="dxa"/>
            <w:vAlign w:val="bottom"/>
          </w:tcPr>
          <w:p>
            <w:pPr>
              <w:spacing w:after="0"/>
              <w:rPr>
                <w:sz w:val="1"/>
                <w:szCs w:val="1"/>
                <w:color w:val="auto"/>
              </w:rPr>
            </w:pPr>
          </w:p>
        </w:tc>
      </w:tr>
      <w:tr>
        <w:trPr>
          <w:trHeight w:val="158"/>
        </w:trPr>
        <w:tc>
          <w:tcPr>
            <w:tcW w:w="45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354"/>
              <w:spacing w:after="0" w:line="158"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3"/>
                <w:szCs w:val="13"/>
                <w:color w:val="auto"/>
              </w:rPr>
            </w:pPr>
          </w:p>
        </w:tc>
        <w:tc>
          <w:tcPr>
            <w:tcW w:w="120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Intangible assets with definite lives: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Composite intangible asset</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1,061.9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1,061.9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168.6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License and distribution rights and other</w:t>
            </w:r>
            <w:r>
              <w:rPr>
                <w:rFonts w:ascii="Arial" w:cs="Arial" w:eastAsia="Arial" w:hAnsi="Arial"/>
                <w:sz w:val="25"/>
                <w:szCs w:val="25"/>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2,032.6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2,012.1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499.7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4560" w:type="dxa"/>
            <w:vAlign w:val="bottom"/>
            <w:tcBorders>
              <w:top w:val="single" w:sz="8" w:color="CCEEFF"/>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Less: accumulated amortization and translation</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CCEEFF"/>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567.4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200" w:type="dxa"/>
            <w:vAlign w:val="bottom"/>
            <w:tcBorders>
              <w:top w:val="single" w:sz="8" w:color="CCEEFF"/>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1,465.2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Intangible assets with indefinite lives, net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Total other intangible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1,474.1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1,521.3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8"/>
        <w:spacing w:after="0" w:line="301" w:lineRule="auto"/>
        <w:tabs>
          <w:tab w:leader="none" w:pos="178" w:val="left"/>
        </w:tabs>
        <w:numPr>
          <w:ilvl w:val="0"/>
          <w:numId w:val="4"/>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 the second quarter of fiscal 2019, CooperSurgical sold an exclusive distribution right to distribute Filshie Clip System in the U.S. for $21.0 million and recognized a gain of $19.0 million.</w:t>
      </w:r>
    </w:p>
    <w:p>
      <w:pPr>
        <w:spacing w:after="0" w:line="78" w:lineRule="exact"/>
        <w:rPr>
          <w:rFonts w:ascii="Arial" w:cs="Arial" w:eastAsia="Arial" w:hAnsi="Arial"/>
          <w:sz w:val="20"/>
          <w:szCs w:val="20"/>
          <w:i w:val="1"/>
          <w:iCs w:val="1"/>
          <w:color w:val="auto"/>
          <w:vertAlign w:val="superscript"/>
        </w:rPr>
      </w:pPr>
    </w:p>
    <w:p>
      <w:pPr>
        <w:ind w:left="180" w:hanging="172"/>
        <w:spacing w:after="0"/>
        <w:tabs>
          <w:tab w:leader="none" w:pos="180" w:val="left"/>
        </w:tabs>
        <w:numPr>
          <w:ilvl w:val="0"/>
          <w:numId w:val="4"/>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Intangible assets with indefinite lives include trademark and technology intangible assets.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gridSpan w:val="3"/>
          </w:tcPr>
          <w:p>
            <w:pPr>
              <w:spacing w:after="0"/>
              <w:rPr>
                <w:sz w:val="20"/>
                <w:szCs w:val="20"/>
                <w:color w:val="auto"/>
              </w:rPr>
            </w:pPr>
            <w:r>
              <w:rPr>
                <w:rFonts w:ascii="Arial" w:cs="Arial" w:eastAsia="Arial" w:hAnsi="Arial"/>
                <w:sz w:val="18"/>
                <w:szCs w:val="18"/>
                <w:color w:val="auto"/>
              </w:rPr>
              <w:t>Balances include foreign currency translation adjustments.</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9140" w:type="dxa"/>
            <w:vAlign w:val="bottom"/>
            <w:gridSpan w:val="3"/>
          </w:tcPr>
          <w:p>
            <w:pPr>
              <w:spacing w:after="0"/>
              <w:rPr>
                <w:sz w:val="20"/>
                <w:szCs w:val="20"/>
                <w:color w:val="auto"/>
              </w:rPr>
            </w:pPr>
            <w:r>
              <w:rPr>
                <w:rFonts w:ascii="Arial" w:cs="Arial" w:eastAsia="Arial" w:hAnsi="Arial"/>
                <w:sz w:val="18"/>
                <w:szCs w:val="18"/>
                <w:color w:val="auto"/>
              </w:rPr>
              <w:t>As of April 30, 2019, the estimation of amortization expenses for intangible assets with definite lives is as follows:</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Fiscal years:</w:t>
            </w:r>
          </w:p>
        </w:tc>
        <w:tc>
          <w:tcPr>
            <w:tcW w:w="8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jc w:val="right"/>
              <w:ind w:right="672"/>
              <w:spacing w:after="0"/>
              <w:rPr>
                <w:sz w:val="20"/>
                <w:szCs w:val="20"/>
                <w:color w:val="auto"/>
              </w:rPr>
            </w:pPr>
            <w:r>
              <w:rPr>
                <w:rFonts w:ascii="Arial" w:cs="Arial" w:eastAsia="Arial" w:hAnsi="Arial"/>
                <w:sz w:val="14"/>
                <w:szCs w:val="14"/>
                <w:b w:val="1"/>
                <w:bCs w:val="1"/>
                <w:color w:val="auto"/>
              </w:rPr>
              <w:t>(In millions)</w:t>
            </w:r>
          </w:p>
        </w:tc>
      </w:tr>
      <w:tr>
        <w:trPr>
          <w:trHeight w:val="48"/>
        </w:trPr>
        <w:tc>
          <w:tcPr>
            <w:tcW w:w="4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81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44"/>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w:t>
            </w:r>
          </w:p>
        </w:tc>
      </w:tr>
      <w:tr>
        <w:trPr>
          <w:trHeight w:val="243"/>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135.5</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134.2</w:t>
            </w:r>
          </w:p>
        </w:tc>
      </w:tr>
      <w:tr>
        <w:trPr>
          <w:trHeight w:val="243"/>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132.4</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861.2</w:t>
            </w:r>
          </w:p>
        </w:tc>
      </w:tr>
      <w:tr>
        <w:trPr>
          <w:trHeight w:val="27"/>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1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remaining amortization for intangible assets with definite lives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1,465.2</w:t>
            </w: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447" w:gutter="0" w:footer="0" w:header="0"/>
          <w:type w:val="continuous"/>
        </w:sectPr>
      </w:pPr>
    </w:p>
    <w:bookmarkStart w:id="14" w:name="page15"/>
    <w:bookmarkEnd w:id="14"/>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Debt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April 30, 2019</w:t>
            </w:r>
          </w:p>
        </w:tc>
        <w:tc>
          <w:tcPr>
            <w:tcW w:w="220" w:type="dxa"/>
            <w:vAlign w:val="bottom"/>
          </w:tcPr>
          <w:p>
            <w:pPr>
              <w:spacing w:after="0"/>
              <w:rPr>
                <w:sz w:val="17"/>
                <w:szCs w:val="17"/>
                <w:color w:val="auto"/>
              </w:rPr>
            </w:pPr>
          </w:p>
        </w:tc>
        <w:tc>
          <w:tcPr>
            <w:tcW w:w="1600" w:type="dxa"/>
            <w:vAlign w:val="bottom"/>
          </w:tcPr>
          <w:p>
            <w:pPr>
              <w:jc w:val="right"/>
              <w:ind w:right="231"/>
              <w:spacing w:after="0"/>
              <w:rPr>
                <w:sz w:val="20"/>
                <w:szCs w:val="20"/>
                <w:color w:val="auto"/>
              </w:rPr>
            </w:pPr>
            <w:r>
              <w:rPr>
                <w:rFonts w:ascii="Arial" w:cs="Arial" w:eastAsia="Arial" w:hAnsi="Arial"/>
                <w:sz w:val="16"/>
                <w:szCs w:val="16"/>
                <w:b w:val="1"/>
                <w:bCs w:val="1"/>
                <w:color w:val="auto"/>
                <w:w w:val="98"/>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Overdraft and other credit facilities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r>
      <w:tr>
        <w:trPr>
          <w:trHeight w:val="243"/>
        </w:trPr>
        <w:tc>
          <w:tcPr>
            <w:tcW w:w="7620" w:type="dxa"/>
            <w:vAlign w:val="bottom"/>
            <w:gridSpan w:val="3"/>
          </w:tcPr>
          <w:p>
            <w:pPr>
              <w:ind w:left="4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620" w:type="dxa"/>
            <w:vAlign w:val="bottom"/>
            <w:gridSpan w:val="3"/>
          </w:tcPr>
          <w:p>
            <w:pPr>
              <w:ind w:left="40"/>
              <w:spacing w:after="0"/>
              <w:rPr>
                <w:sz w:val="20"/>
                <w:szCs w:val="20"/>
                <w:color w:val="auto"/>
              </w:rPr>
            </w:pPr>
            <w:r>
              <w:rPr>
                <w:rFonts w:ascii="Arial" w:cs="Arial" w:eastAsia="Arial" w:hAnsi="Arial"/>
                <w:sz w:val="18"/>
                <w:szCs w:val="18"/>
                <w:color w:val="auto"/>
              </w:rPr>
              <w:t>Short-term Debt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7620" w:type="dxa"/>
            <w:vAlign w:val="bottom"/>
            <w:gridSpan w:val="3"/>
          </w:tcPr>
          <w:p>
            <w:pPr>
              <w:ind w:left="40"/>
              <w:spacing w:after="0"/>
              <w:rPr>
                <w:sz w:val="20"/>
                <w:szCs w:val="20"/>
                <w:color w:val="auto"/>
              </w:rPr>
            </w:pPr>
            <w:r>
              <w:rPr>
                <w:rFonts w:ascii="Arial" w:cs="Arial" w:eastAsia="Arial" w:hAnsi="Arial"/>
                <w:sz w:val="18"/>
                <w:szCs w:val="18"/>
                <w:color w:val="auto"/>
              </w:rPr>
              <w:t>Revolving credit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439.0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1,550.0</w:t>
            </w:r>
          </w:p>
        </w:tc>
      </w:tr>
      <w:tr>
        <w:trPr>
          <w:trHeight w:val="243"/>
        </w:trPr>
        <w:tc>
          <w:tcPr>
            <w:tcW w:w="76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762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1,985.7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8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r>
      <w:tr>
        <w:trPr>
          <w:trHeight w:val="257"/>
        </w:trPr>
        <w:tc>
          <w:tcPr>
            <w:tcW w:w="762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1,926.9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2,022.8</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 million Term Loan on November 1, 2018</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November 1, 2018, the Company entered into a 364-day, $400.0 million, senior unsecured term loan agreement by and among the Company, the lenders party thereto and PNC Bank, National Association, as administrative agent which matures on October 31, 2019 (the 2018 Term Loan Agreement). The Company used the funds to partially repay outstanding borrowings under the 2016 Revolving Credit Facility. At April 30, 2019, we had $400.0 million outstanding under the 2018 Term Loan Agreement.</w:t>
      </w:r>
    </w:p>
    <w:p>
      <w:pPr>
        <w:spacing w:after="0" w:line="13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Amounts outstanding under the 2018 Term Loan Agreement will bear interest, at the Company's option, at either the base rate, or the adjusted LIBO rate (each as defined in the 2018 Term Loan Agreement), plus, in each case, an applicable rate of 0.00% in respect of base rate loans and 0.60% in respect of adjusted LIBO rate loans. The weighted average interest rate for the three months and six months ended April 30, 2019 were 3.10% and 3.04%, respectively.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2018 Term Loan Agreement contains customary restrictive covenants, as well as financial covenants that require the Company to maintain a certain Total Leverage Ratio and Interest Coverage Ratio (each as defined in the 2018 Term Loan Agreement) consistent with the 2016 Credit Agreement discussed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$1.425 billion Term Loan on November 1, 2017</w:t>
      </w:r>
    </w:p>
    <w:p>
      <w:pPr>
        <w:spacing w:after="0" w:line="17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November 1, 2017, in connection with the PARAGARD acquisition, we entered into a five-year, $1.425 billion, senior unsecured term loan agreement (the 2017 Term Loan Agreement) by and among the Company, the lenders party thereto and DNB Bank ASA, New York Branch, as administrative agent which matures on November 1, 2022. The Company used part of the facility to fund the PARAGARD acquisition and used the remainder of the funds to partially repay outstanding borrowings under our revolving credit agreement.</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outstanding under the 2017 Term Loan Agreement will bear interest, at our option, at either the base rate, or the adjusted LIBO rate (each as defined in the 2017 Term Loan Agreement), plus, in each case, an applicable rate of, between 0.00% and 0.75% in respect of base rate loans and between 1.00% and 1.75% in respect of adjusted LIBO rate loans, in each case in accordance with a pricing grid tied to the Total Leverage Ratio as defined in the 2017 Term Loan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discussed below. At April 30, 2019, we had $1.425 billion outstanding under the 2017 Term Loan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March 1, 2016</w:t>
      </w:r>
    </w:p>
    <w:p>
      <w:pPr>
        <w:spacing w:after="0" w:line="17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On March 1, 2016, we entered into a Revolving Credit and Term Loan Agreement (the 2016 Credit Agreement), among the Company, CooperVision International Holding Company, LP, the lenders party thereto and KeyBank National Association, as administrative agent. The 2016 Credit Agreement provides for a multicurrency revolving credit facility in an aggregate</w:t>
      </w:r>
    </w:p>
    <w:p>
      <w:pPr>
        <w:sectPr>
          <w:pgSz w:w="11900" w:h="16838" w:orient="portrait"/>
          <w:cols w:equalWidth="0" w:num="1">
            <w:col w:w="11380"/>
          </w:cols>
          <w:pgMar w:left="240" w:top="125" w:right="279" w:bottom="1440" w:gutter="0" w:footer="0" w:header="0"/>
        </w:sect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125" w:right="279" w:bottom="1440" w:gutter="0" w:footer="0" w:header="0"/>
          <w:type w:val="continuous"/>
        </w:sectPr>
      </w:pPr>
    </w:p>
    <w:bookmarkStart w:id="15" w:name="page16"/>
    <w:bookmarkEnd w:id="1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principal amount of $1.0 billion (the 2016 Revolving Credit Facility) and a term loan facility in an aggregate principal amount of $830.0 million (the 2016 Term Loan Facility), each of which, unless terminated earlier, mature on March 1, 2021. In addition, we have the ability from time to time to request an increase to the size of the 2016 Revolving Credit Facility or establish one or more new term loans under the 2016 Term Loan Facility in an aggregate amount up to $750.0 million, subject to the discretionary participation of the lenders.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Amounts outstanding under the 2016 Credit Agreement will bear interest, at our option, at either the base rate, or the adjusted LIBO rate or adjusted foreign currency rate (each as defined in the 2016 Credit Agreement), plus, in each case, an applicable rate of between 0.00% and 0.75% in respect of base rate loans and between 1.00% and 1.75% in respect of adjusted LIBO rate or adjusted foreign currency rate loans, in each case in accordance with a pricing grid tied to the Total Leverage Ratio, as defined in the 2016 Credit Agreement.</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pay an annual commitment fee that ranges from 0.125% to 0.25% of the unused portion of the 2016 Revolving Credit Facility depending on certain financial ratios. In addition to the annual commitment fee described above, we are also required to pay certain letter of credit and related fronting fees and other administrative fees pursuant to the terms of the 2016 Credit Agreement.</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April 30, 2019, we had $50.0 million outstanding under the 2016 Term Loan Facility and $999.5 million available under the 2016 Revolving Credit Facility.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2016 Credit Agreement contains customary restrictive covenants, as well as financial covenants that require us to maintain a certain Total Leverage Ratio and Interest Coverage Ratio (each as defined in the 2016 Credit Agreement):</w:t>
      </w:r>
    </w:p>
    <w:p>
      <w:pPr>
        <w:spacing w:after="0" w:line="116"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171"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April 30, 2019, we were in compliance with the Interest Coverage Ratio at 11.17 to 1.00 and the Total Leverage Ratio at 1.99 to 1.00 for 2018 Term Loan Agreement, the 2017 Term Loan Agreement, and the 2016 Credit Agreement. The interest rate on the 2017 and 2016 term loans was 3.75% at April 30,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2018 for more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216"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2017 Act was enacted into law on December 22, 2017 and significantly changes existing U.S. tax law. The 2017 Act adopts a territorial tax system, imposes a mandatory one-time transition tax on earnings of foreign subsidiaries that were previously indefinitely reinvested, and reduces the U.S. federal statutory tax rate from 35% to 21%. For second quarter of fiscal 2019, the Company has utilized the enacted U.S. federal statutory tax rate of 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2017 Act includes several provisions that are effective for our fiscal 2019: (i) tax on global intangible low-taxed income (GILTI) of foreign subsidiaries,</w:t>
      </w:r>
    </w:p>
    <w:p>
      <w:pPr>
        <w:spacing w:after="0" w:line="46" w:lineRule="exact"/>
        <w:rPr>
          <w:sz w:val="20"/>
          <w:szCs w:val="20"/>
          <w:color w:val="auto"/>
        </w:rPr>
      </w:pPr>
    </w:p>
    <w:p>
      <w:pPr>
        <w:ind w:right="140" w:firstLine="8"/>
        <w:spacing w:after="0" w:line="290"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tax on certain payments between a U.S. corporation and its foreign subsidiaries referred to as the base erosion and anti-abuse tax (BEAT), (iii) limitation on the tax deduction for interest payments, and (iv) expanded limitation on the tax deduction for compensation paid to certain executives.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2017 Act was effective in the first quarter of fiscal 2018. During the first quarter of fiscal 2019, we recorded tax benefit of $4.4 million in our financial statements to finalize the tax effects of the 2017 Act pursuant to SAB 118. The Company is no longer asserting that earnings from our foreign subsidiaries are indefinitely reinvested.</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The 2017 Act imposes a new tax on foreign earnings and profits in excess of a deemed return on tangible assets of foreign subsidiaries referred to as GILTI which is effective in fiscal 2019. In accordance with FASB Staff Q&amp;A, Topic 740, No. 5, </w:t>
      </w:r>
      <w:r>
        <w:rPr>
          <w:rFonts w:ascii="Arial" w:cs="Arial" w:eastAsia="Arial" w:hAnsi="Arial"/>
          <w:sz w:val="17"/>
          <w:szCs w:val="17"/>
          <w:i w:val="1"/>
          <w:iCs w:val="1"/>
          <w:color w:val="auto"/>
        </w:rPr>
        <w:t>Accounting for Global Intangible Low-Taxed Income</w:t>
      </w:r>
      <w:r>
        <w:rPr>
          <w:rFonts w:ascii="Arial" w:cs="Arial" w:eastAsia="Arial" w:hAnsi="Arial"/>
          <w:sz w:val="17"/>
          <w:szCs w:val="17"/>
          <w:color w:val="auto"/>
        </w:rPr>
        <w:t>, the Company made an accounting policy election to recognize the tax expense related to GILTI in the year the tax is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effective tax rates were an expense of 4.5% and a benefit of 12.9% for the second quarters of fiscal 2019 and fiscal 2018, respectively, and a benefit of 1.7% and an expense of 147.8% for the first six months of fiscal 2019 and 2018, respectively. The increase in our effective tax rate for the second quarter of fiscal 2019 compared to fiscal 2018 was primarily due to the inclusion of earnings from our foreign subsidiaries pursuant to the GILTI provisions that became effective in fiscal 2019. The decrease in our effective tax rate for the first six months of fiscal 2019 compared to fiscal 2018 was primarily due to the provisional charge of $202.0 million relating to the 2017 Act that was recorded in the first quarter of fiscal 2018. Our effective tax rate for the first six months of fiscal 2019 was lower than the U.S. statutory rate because of discrete tax benefits and a favorable mix of income from our foreign jurisdictions with lower tax rates. Total discrete tax benefits for the first six months of fiscal 2019 were $23.1 million primarily relating to settlement of tax audits, revisions to the provisional tax charges relating to the 2017 Act, and excess tax benefits from share-based compensation. Our effective tax rate for the first six months of fiscal 2018 was higher than the U.S. statutory rate because of the discrete tax expense relating to the 2017 Act, which was partially offset by a favorable mix of income from our foreign jurisdictions with lower tax rates and an excess tax benefit from share-based compensation.</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recognize the benefit from a tax position only if it is more likely than not that the position would be sustained upon audit based solely on the technical merits of the tax position. As of April 30, 2019, and October 31, 2018, Cooper had unrecognized tax benefits of $49.1 million and $68.9 million, respectively. The decrease is primarily related to settling prior year tax audits, partially offset by additions to current period transfer pricing reserves. It is our policy to recognize interest and penalties directly related to income taxes as additional income tax expense. It is reasonably possible that $3.1 million of unrecognized tax benefits could be settled during the next twelve months.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is subject to U.S. Federal income tax examinations for fiscal 2015 through 2018 and the Internal Revenue Service is currently auditing our U.S. Consolidated Corporation Income Tax Returns for fiscal 2015 and 2016. The Company remains subject to income tax examinations in other significant tax jurisdictions including the United Kingdom, Japan, France and Australia for the tax years 2015 through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Earnings (Loss) Per Share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5"/>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Three Months</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Six Months</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19"/>
                <w:szCs w:val="19"/>
                <w:color w:val="auto"/>
              </w:rPr>
            </w:pPr>
          </w:p>
        </w:tc>
        <w:tc>
          <w:tcPr>
            <w:tcW w:w="12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5"/>
            <w:vMerge w:val="restart"/>
          </w:tcPr>
          <w:p>
            <w:pPr>
              <w:ind w:left="40"/>
              <w:spacing w:after="0" w:line="196" w:lineRule="exact"/>
              <w:rPr>
                <w:sz w:val="20"/>
                <w:szCs w:val="20"/>
                <w:color w:val="auto"/>
              </w:rPr>
            </w:pPr>
            <w:r>
              <w:rPr>
                <w:rFonts w:ascii="Arial" w:cs="Arial" w:eastAsia="Arial" w:hAnsi="Arial"/>
                <w:sz w:val="18"/>
                <w:szCs w:val="18"/>
                <w:color w:val="auto"/>
              </w:rPr>
              <w:t>Basic:</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gridSpan w:val="5"/>
            <w:vMerge w:val="continue"/>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color w:val="auto"/>
              </w:rPr>
              <w:t>Basic earnings (loss)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5"/>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22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700" w:type="dxa"/>
            <w:vAlign w:val="bottom"/>
            <w:gridSpan w:val="5"/>
            <w:shd w:val="clear" w:color="auto" w:fill="CCEEFF"/>
          </w:tcPr>
          <w:p>
            <w:pPr>
              <w:ind w:left="40"/>
              <w:spacing w:after="0" w:line="156" w:lineRule="exact"/>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2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potential dilutive shares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Diluted weighted average common shares*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22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700" w:type="dxa"/>
            <w:vAlign w:val="bottom"/>
            <w:gridSpan w:val="5"/>
            <w:shd w:val="clear" w:color="auto" w:fill="CCEEFF"/>
          </w:tcPr>
          <w:p>
            <w:pPr>
              <w:ind w:left="40"/>
              <w:spacing w:after="0" w:line="182" w:lineRule="exact"/>
              <w:rPr>
                <w:sz w:val="20"/>
                <w:szCs w:val="20"/>
                <w:color w:val="auto"/>
              </w:rPr>
            </w:pPr>
            <w:r>
              <w:rPr>
                <w:rFonts w:ascii="Arial" w:cs="Arial" w:eastAsia="Arial" w:hAnsi="Arial"/>
                <w:sz w:val="18"/>
                <w:szCs w:val="18"/>
                <w:color w:val="auto"/>
              </w:rPr>
              <w:t>Diluted earnings (loss) per share attributable to Cooper</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right="200"/>
        <w:spacing w:after="0" w:line="280" w:lineRule="auto"/>
        <w:rPr>
          <w:sz w:val="20"/>
          <w:szCs w:val="20"/>
          <w:color w:val="auto"/>
        </w:rPr>
      </w:pPr>
      <w:r>
        <w:rPr>
          <w:rFonts w:ascii="Arial" w:cs="Arial" w:eastAsia="Arial" w:hAnsi="Arial"/>
          <w:sz w:val="16"/>
          <w:szCs w:val="16"/>
          <w:i w:val="1"/>
          <w:iCs w:val="1"/>
          <w:color w:val="auto"/>
        </w:rPr>
        <w:t>*The number of diluted weighted average common shares used to calculate fiscal 2018 six months diluted loss per share excludes all potentially dilutive instrument because they would be antidilutive due to the net loss position.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stock options to purchase Cooper’s common stock and restricted stock units that were not included in the diluted earnings per share calculation because their effect would have been antidilutive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ind w:left="1420"/>
              <w:spacing w:after="0"/>
              <w:rPr>
                <w:sz w:val="20"/>
                <w:szCs w:val="20"/>
                <w:color w:val="auto"/>
              </w:rPr>
            </w:pPr>
            <w:r>
              <w:rPr>
                <w:rFonts w:ascii="Arial" w:cs="Arial" w:eastAsia="Arial" w:hAnsi="Arial"/>
                <w:sz w:val="14"/>
                <w:szCs w:val="14"/>
                <w:b w:val="1"/>
                <w:bCs w:val="1"/>
                <w:color w:val="auto"/>
              </w:rPr>
              <w:t>Six Months</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exercise prices)</w:t>
            </w:r>
          </w:p>
        </w:tc>
        <w:tc>
          <w:tcPr>
            <w:tcW w:w="360" w:type="dxa"/>
            <w:vAlign w:val="bottom"/>
          </w:tcPr>
          <w:p>
            <w:pPr>
              <w:spacing w:after="0"/>
              <w:rPr>
                <w:sz w:val="19"/>
                <w:szCs w:val="19"/>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720" w:type="dxa"/>
            <w:vAlign w:val="bottom"/>
          </w:tcPr>
          <w:p>
            <w:pPr>
              <w:jc w:val="right"/>
              <w:ind w:right="63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Number of stock option shares excluded</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color w:val="auto"/>
              </w:rPr>
              <w:t>Range of exercise prices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3"/>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254.77</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229.66</w:t>
            </w:r>
          </w:p>
        </w:tc>
        <w:tc>
          <w:tcPr>
            <w:tcW w:w="100" w:type="dxa"/>
            <w:vAlign w:val="bottom"/>
          </w:tcPr>
          <w:p>
            <w:pPr>
              <w:spacing w:after="0"/>
              <w:rPr>
                <w:sz w:val="20"/>
                <w:szCs w:val="20"/>
                <w:color w:val="auto"/>
              </w:rPr>
            </w:pP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$226.30-$254.77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w w:val="95"/>
              </w:rPr>
              <w:t>$15.83-$229.66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280" w:type="dxa"/>
            <w:vAlign w:val="bottom"/>
            <w:tcBorders>
              <w:bottom w:val="single" w:sz="8" w:color="CCEEFF"/>
            </w:tcBorders>
          </w:tcPr>
          <w:p>
            <w:pPr>
              <w:spacing w:after="0"/>
              <w:rPr>
                <w:sz w:val="5"/>
                <w:szCs w:val="5"/>
                <w:color w:val="auto"/>
              </w:rPr>
            </w:pPr>
          </w:p>
        </w:tc>
        <w:tc>
          <w:tcPr>
            <w:tcW w:w="23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Numbers of restricted stock units excluded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Share-Based Compensation Plans</w:t>
      </w:r>
    </w:p>
    <w:p>
      <w:pPr>
        <w:spacing w:after="0" w:line="171" w:lineRule="exact"/>
        <w:rPr>
          <w:sz w:val="20"/>
          <w:szCs w:val="20"/>
          <w:color w:val="auto"/>
        </w:rPr>
      </w:pPr>
    </w:p>
    <w:p>
      <w:pPr>
        <w:jc w:val="both"/>
        <w:ind w:right="140"/>
        <w:spacing w:after="0" w:line="221" w:lineRule="exact"/>
        <w:rPr>
          <w:sz w:val="20"/>
          <w:szCs w:val="20"/>
          <w:color w:val="auto"/>
        </w:rPr>
      </w:pPr>
      <w:r>
        <w:rPr>
          <w:rFonts w:ascii="Arial" w:cs="Arial" w:eastAsia="Arial" w:hAnsi="Arial"/>
          <w:sz w:val="18"/>
          <w:szCs w:val="18"/>
          <w:color w:val="auto"/>
        </w:rPr>
        <w:t>Cooper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2018. The compensation expense and related income tax benefit recognized in our consolidated condensed financial statements for share-based awards were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Three Months</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16"/>
                <w:szCs w:val="16"/>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22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share-based compensation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26.3</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39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March 18, 2019, the Company received stockholder approval of the Employee Stock Purchase Plan (“ESPP”). The first offering period is for U.S. employees and is expected to begin on November 4, 2019. The purpose of the ESPP is to provide eligible employees of the Company with the opportunity to acquire shares of common stock at 85% of the market price on the last business day of each offering period by means of accumulated payroll deductions. Payroll deductions will be limited to maximum of 15% of the employee’s eligible compensation, not to exceed $21,250 in any one calendar year. The ESPP would initially authorize the issuance of 1,000,000 shares of common stock. These shares will be made available from shares of common stock reacquired by the Company as Treasury Stock. At April 30, 2019, there were approximately 3.6 million Treasury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Stockholders’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Minimum Pension</w:t>
            </w:r>
          </w:p>
        </w:tc>
        <w:tc>
          <w:tcPr>
            <w:tcW w:w="380" w:type="dxa"/>
            <w:vAlign w:val="bottom"/>
          </w:tcPr>
          <w:p>
            <w:pPr>
              <w:spacing w:after="0"/>
              <w:rPr>
                <w:sz w:val="14"/>
                <w:szCs w:val="1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400" w:type="dxa"/>
            <w:vAlign w:val="bottom"/>
            <w:gridSpan w:val="3"/>
            <w:vMerge w:val="continue"/>
          </w:tcPr>
          <w:p>
            <w:pPr>
              <w:spacing w:after="0"/>
              <w:rPr>
                <w:sz w:val="13"/>
                <w:szCs w:val="13"/>
                <w:color w:val="auto"/>
              </w:rPr>
            </w:pPr>
          </w:p>
        </w:tc>
        <w:tc>
          <w:tcPr>
            <w:tcW w:w="17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Translation Adjustment</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change in value during the year ended October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Tax effect for the period</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ASU 2018-02 adoption</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change in value during the six months ended April 30, 2019</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0"/>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Balance at April 30, 2019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8890</wp:posOffset>
            </wp:positionV>
            <wp:extent cx="31813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81350" cy="26035"/>
                    </a:xfrm>
                    <a:prstGeom prst="rect">
                      <a:avLst/>
                    </a:prstGeom>
                    <a:noFill/>
                  </pic:spPr>
                </pic:pic>
              </a:graphicData>
            </a:graphic>
          </wp:anchor>
        </w:drawing>
      </w:r>
    </w:p>
    <w:p>
      <w:pPr>
        <w:spacing w:after="0" w:line="24" w:lineRule="exact"/>
        <w:rPr>
          <w:sz w:val="20"/>
          <w:szCs w:val="20"/>
          <w:color w:val="auto"/>
        </w:rPr>
      </w:pPr>
    </w:p>
    <w:p>
      <w:pPr>
        <w:ind w:left="340" w:right="120" w:hanging="332"/>
        <w:spacing w:after="0" w:line="217" w:lineRule="auto"/>
        <w:tabs>
          <w:tab w:leader="none" w:pos="340" w:val="left"/>
        </w:tabs>
        <w:numPr>
          <w:ilvl w:val="0"/>
          <w:numId w:val="7"/>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Represents reclassification to retained earnings from adoption of ASU 2018-02. Refer to our Annual Report on Form 10-K for the fiscal year ended October 31, 2018 for more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December 2011, our Board of Directors authorized the 2012 Share Repurchase Program and through subsequent amendments, the most recent in March 2017, the total repurchase authorization was increased from $500.0 million to $1.0</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2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We did not repurchase shares in the second quarter of fiscal 2019. During the first quarter of fiscal 2019, we repurchased 24.5 thousand shares of the Company's common stock for $6.1 million, at an average purchase price of $248.70 per share. We did not repurchase shares during the fiscal year ended October 31, 2018. At April 30, 2019, $557.4 million remains authorized for repurchase under the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paid a semiannual dividend of approximately $1.5 million or 3 cents per share on February 8, 2019, to stockholders of record on January 22, 2019.</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Fair Value Measurements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April 30, 2019 and October 31, 2018,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value of our revolving credit facility and term loans approximates fair value estimated based on current market rates (Level 2). The Company did not have any derivative assets or liabilities that may include interest rate swaps, cross currency swaps or foreign currency forward contracts as of April 30, 2019 and October 31,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uses fair value measures when determining assets and liabilities acquired in an acquisition as described in Note 3. Acquisitions which are considered a Level 3 measurement. The Company also used fair value measures to allocate goodwill upon the split of our reporting units as discussed in Note 5. Intangible Assets which was considered a Level 3 measurement.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12. Employee Benefits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Cooper’s Retirement Income Plan (the Plan), a defined benefit plan, covers substantially all full-time United States employees. Our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Our results of operations for the three and six months ended April 30, 2019 and 2018, reflect the following components of net periodic pension costs: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Three Months</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Six Months</w:t>
            </w:r>
          </w:p>
        </w:tc>
        <w:tc>
          <w:tcPr>
            <w:tcW w:w="1020" w:type="dxa"/>
            <w:vAlign w:val="bottom"/>
            <w:tcBorders>
              <w:bottom w:val="single" w:sz="8" w:color="auto"/>
            </w:tcBorders>
          </w:tcPr>
          <w:p>
            <w:pPr>
              <w:spacing w:after="0"/>
              <w:rPr>
                <w:sz w:val="16"/>
                <w:szCs w:val="16"/>
                <w:color w:val="auto"/>
              </w:rPr>
            </w:pPr>
          </w:p>
        </w:tc>
      </w:tr>
      <w:tr>
        <w:trPr>
          <w:trHeight w:val="229"/>
        </w:trPr>
        <w:tc>
          <w:tcPr>
            <w:tcW w:w="5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Recognized net actuarial loss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periodic pension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contributed $2.5 million to the Plan in the first half of fiscal 2019 and expect to contribute $7.5 million during the remainder of fiscal 2019. We contributed $2.5 million to the Plan in the first half of fiscal 2018. The expected rate of return on Plan assets for determining net periodic pension cost is 8%.</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13. Contingencies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w:t>
      </w:r>
    </w:p>
    <w:p>
      <w:pPr>
        <w:sectPr>
          <w:pgSz w:w="11900" w:h="16838" w:orient="portrait"/>
          <w:cols w:equalWidth="0" w:num="1">
            <w:col w:w="11420"/>
          </w:cols>
          <w:pgMar w:left="240" w:top="125" w:right="239" w:bottom="0" w:gutter="0" w:footer="0" w:header="0"/>
        </w:sectPr>
      </w:pPr>
    </w:p>
    <w:bookmarkStart w:id="19" w:name="page20"/>
    <w:bookmarkEnd w:id="19"/>
    <w:p>
      <w:pPr>
        <w:ind w:right="20"/>
        <w:spacing w:after="0" w:line="257" w:lineRule="auto"/>
        <w:rPr>
          <w:sz w:val="20"/>
          <w:szCs w:val="20"/>
          <w:color w:val="auto"/>
        </w:rPr>
      </w:pPr>
      <w:r>
        <w:rPr>
          <w:rFonts w:ascii="Arial" w:cs="Arial" w:eastAsia="Arial" w:hAnsi="Arial"/>
          <w:sz w:val="18"/>
          <w:szCs w:val="18"/>
          <w:color w:val="auto"/>
        </w:rPr>
        <w:t>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to be set by the Court.</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Legal fees are expensed as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14. Business Segment Information</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Total identifiable assets are those used in continuing operations except cash and cash equivalents, which we include as corporate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Three Months</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 net sales by category: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680"/>
              <w:spacing w:after="0"/>
              <w:rPr>
                <w:sz w:val="20"/>
                <w:szCs w:val="20"/>
                <w:color w:val="auto"/>
              </w:rPr>
            </w:pPr>
            <w:r>
              <w:rPr>
                <w:rFonts w:ascii="Arial" w:cs="Arial" w:eastAsia="Arial" w:hAnsi="Arial"/>
                <w:sz w:val="18"/>
                <w:szCs w:val="18"/>
                <w:color w:val="auto"/>
              </w:rPr>
              <w:t>Toric lens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Multifocal lens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680"/>
              <w:spacing w:after="0"/>
              <w:rPr>
                <w:sz w:val="20"/>
                <w:szCs w:val="20"/>
                <w:color w:val="auto"/>
              </w:rPr>
            </w:pPr>
            <w:r>
              <w:rPr>
                <w:rFonts w:ascii="Arial" w:cs="Arial" w:eastAsia="Arial" w:hAnsi="Arial"/>
                <w:sz w:val="18"/>
                <w:szCs w:val="18"/>
                <w:color w:val="auto"/>
              </w:rPr>
              <w:t>Single-use sphere lens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Non single-use sphere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Total CooperVision net sales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954.3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CooperSurgical net sales by category: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680"/>
              <w:spacing w:after="0"/>
              <w:rPr>
                <w:sz w:val="20"/>
                <w:szCs w:val="20"/>
                <w:color w:val="auto"/>
              </w:rPr>
            </w:pPr>
            <w:r>
              <w:rPr>
                <w:rFonts w:ascii="Arial" w:cs="Arial" w:eastAsia="Arial" w:hAnsi="Arial"/>
                <w:sz w:val="18"/>
                <w:szCs w:val="18"/>
                <w:color w:val="auto"/>
              </w:rPr>
              <w:t>Office and surgical procedures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Fertility</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CooperSurgical net sales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CooperVision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CooperSurgical</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operating income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Other expense (income), net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2019</w:t>
            </w:r>
          </w:p>
        </w:tc>
        <w:tc>
          <w:tcPr>
            <w:tcW w:w="200" w:type="dxa"/>
            <w:vAlign w:val="bottom"/>
          </w:tcPr>
          <w:p>
            <w:pPr>
              <w:spacing w:after="0"/>
              <w:rPr>
                <w:sz w:val="14"/>
                <w:szCs w:val="14"/>
                <w:color w:val="auto"/>
              </w:rPr>
            </w:pPr>
          </w:p>
        </w:tc>
        <w:tc>
          <w:tcPr>
            <w:tcW w:w="14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October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identifiable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3,833.3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3,746.0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6,203.4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Geographic information:</w:t>
            </w: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Three Months</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1194"/>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240" w:type="dxa"/>
            <w:vAlign w:val="bottom"/>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 to unaffiliated customers by country of domicile: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584.9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3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654.3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1,221.3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2019</w:t>
            </w:r>
          </w:p>
        </w:tc>
        <w:tc>
          <w:tcPr>
            <w:tcW w:w="200" w:type="dxa"/>
            <w:vAlign w:val="bottom"/>
          </w:tcPr>
          <w:p>
            <w:pPr>
              <w:spacing w:after="0"/>
              <w:rPr>
                <w:sz w:val="14"/>
                <w:szCs w:val="14"/>
                <w:color w:val="auto"/>
              </w:rPr>
            </w:pPr>
          </w:p>
        </w:tc>
        <w:tc>
          <w:tcPr>
            <w:tcW w:w="14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October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property, plant and equipment by country of domicile:</w:t>
            </w:r>
          </w:p>
        </w:tc>
        <w:tc>
          <w:tcPr>
            <w:tcW w:w="3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3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Unaudited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revenue,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9" w:lineRule="exact"/>
        <w:rPr>
          <w:sz w:val="20"/>
          <w:szCs w:val="20"/>
          <w:color w:val="auto"/>
        </w:rPr>
      </w:pPr>
    </w:p>
    <w:p>
      <w:pPr>
        <w:ind w:left="660" w:right="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changes in global political and economic conditions, and related uncertainty caused by the United Kingdom’s election to withdraw from the European Union and its potential impact on, among other things, the movement of goods and materials in our supply chain, additional regulatory approvals and requirements, and increased tariffs and duties.</w:t>
      </w:r>
    </w:p>
    <w:p>
      <w:pPr>
        <w:spacing w:after="0" w:line="127" w:lineRule="exact"/>
        <w:rPr>
          <w:rFonts w:ascii="Arial" w:cs="Arial" w:eastAsia="Arial" w:hAnsi="Arial"/>
          <w:sz w:val="18"/>
          <w:szCs w:val="18"/>
          <w:color w:val="auto"/>
        </w:rPr>
      </w:pPr>
    </w:p>
    <w:p>
      <w:pPr>
        <w:ind w:left="660" w:right="140" w:hanging="652"/>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Adverse changes in the global or regional general business, political and economic conditions, including the impact of continuing uncertainty and instability of certain countries, such as China, that could adversely affect our global markets, and the potential adverse economic impact and related uncertainty caused by these items, including but not limited to, escalating global trade barriers including additional tariffs.</w:t>
      </w:r>
    </w:p>
    <w:p>
      <w:pPr>
        <w:spacing w:after="0" w:line="111" w:lineRule="exact"/>
        <w:rPr>
          <w:rFonts w:ascii="Arial" w:cs="Arial" w:eastAsia="Arial" w:hAnsi="Arial"/>
          <w:sz w:val="17"/>
          <w:szCs w:val="17"/>
          <w:color w:val="auto"/>
        </w:rPr>
      </w:pPr>
    </w:p>
    <w:p>
      <w:pPr>
        <w:ind w:left="660" w:right="10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revenues and earnings.</w:t>
      </w:r>
    </w:p>
    <w:p>
      <w:pPr>
        <w:spacing w:after="0" w:line="116" w:lineRule="exact"/>
        <w:rPr>
          <w:rFonts w:ascii="Arial" w:cs="Arial" w:eastAsia="Arial" w:hAnsi="Arial"/>
          <w:sz w:val="18"/>
          <w:szCs w:val="18"/>
          <w:color w:val="auto"/>
        </w:rPr>
      </w:pPr>
    </w:p>
    <w:p>
      <w:pPr>
        <w:ind w:left="660" w:right="28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tax laws or their interpretation and changes in statutory tax rates, including but not limited to, the U.S., the United Kingdom and other countries may affect our taxation of earnings recognized in foreign jurisdictions and/or negatively impact our effective tax rate.</w:t>
      </w:r>
    </w:p>
    <w:p>
      <w:pPr>
        <w:spacing w:after="0" w:line="92" w:lineRule="exact"/>
        <w:rPr>
          <w:rFonts w:ascii="Arial" w:cs="Arial" w:eastAsia="Arial" w:hAnsi="Arial"/>
          <w:sz w:val="17"/>
          <w:szCs w:val="17"/>
          <w:color w:val="auto"/>
        </w:rPr>
      </w:pPr>
    </w:p>
    <w:p>
      <w:pPr>
        <w:ind w:left="660" w:right="28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existing indebtedness and associated interest expense, most of which is variable and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right="60" w:hanging="65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revenues,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9" w:lineRule="exact"/>
        <w:rPr>
          <w:rFonts w:ascii="Arial" w:cs="Arial" w:eastAsia="Arial" w:hAnsi="Arial"/>
          <w:sz w:val="18"/>
          <w:szCs w:val="18"/>
          <w:color w:val="auto"/>
        </w:rPr>
      </w:pPr>
    </w:p>
    <w:p>
      <w:pPr>
        <w:ind w:left="660" w:right="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third- party information, such as HIPAA in the U.S. and the General Data Protection Regulation requirements in Europe, including but not limited to those resulting from data security breaches.</w:t>
      </w:r>
    </w:p>
    <w:p>
      <w:pPr>
        <w:spacing w:after="0" w:line="127"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integration of acquisitions, natural disasters or other causes.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6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w:t>
      </w:r>
    </w:p>
    <w:p>
      <w:pPr>
        <w:spacing w:after="0" w:line="127"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5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receive, or delays in receiving, regulatory approvals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of our customers and end users to obtain adequate coverage and reimbursement from third-party payors for our products and services.</w:t>
      </w:r>
    </w:p>
    <w:p>
      <w:pPr>
        <w:spacing w:after="0" w:line="182" w:lineRule="exact"/>
        <w:rPr>
          <w:rFonts w:ascii="Arial" w:cs="Arial" w:eastAsia="Arial" w:hAnsi="Arial"/>
          <w:sz w:val="17"/>
          <w:szCs w:val="17"/>
          <w:color w:val="auto"/>
        </w:rPr>
      </w:pPr>
    </w:p>
    <w:p>
      <w:pPr>
        <w:ind w:left="660" w:right="50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 and costs incurred from changes in accounting standards and policies.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risks, including increasing environmental legislation and the broader impacts of climate change.</w:t>
      </w:r>
    </w:p>
    <w:p>
      <w:pPr>
        <w:spacing w:after="0" w:line="171" w:lineRule="exact"/>
        <w:rPr>
          <w:rFonts w:ascii="Arial" w:cs="Arial" w:eastAsia="Arial" w:hAnsi="Arial"/>
          <w:sz w:val="18"/>
          <w:szCs w:val="18"/>
          <w:color w:val="auto"/>
        </w:rPr>
      </w:pPr>
    </w:p>
    <w:p>
      <w:pPr>
        <w:ind w:left="660" w:right="40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events described in our Securities and Exchange Commission filings, including the “Business” and “Risk Factors” sections in our Annual Report on Form 10-K for the fiscal year ended October 31, 2018, as such Risk Factors may be updated in quarterly filings.</w:t>
      </w:r>
    </w:p>
    <w:p>
      <w:pPr>
        <w:spacing w:after="0" w:line="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this section, we discuss the results of our operations for the second quarter of fiscal 2019 ended April 30, 2019 and the six months then ended and compare them with the same periods of fiscal 2018.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93345</wp:posOffset>
            </wp:positionV>
            <wp:extent cx="5505450" cy="2478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545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$432.6 million, up 7% from $404.5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 $146.9 million, up 97% from $74.7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Diluted earnings per share of $2.45, up 99% from $1.23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provided by operations $214.8 million, compared to $170.8 million in the prior year period.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Highlights</w:t>
      </w:r>
    </w:p>
    <w:p>
      <w:pPr>
        <w:spacing w:after="0" w:line="17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$851.1 million, up 10% from $775.4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income $257.8 million, up 56% from $164.8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Diluted earnings per share of $4.52, up from $1.26 diluted loss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provided by operations $316.6 million, compared to $197.1 million in the prior year period.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1"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Overall, we remain optimistic about the long-term prospects for the worldwide contact lens and general health care markets. However, events affecting the economy as a whole, including but not limited to the uncertainty and instability of global markets driven by foreign currency volatility, changes in tax legislation, debt concerns, the uncertainty caused by the United Kingdom's upcoming withdrawal from the European Union, global trade barriers including additional tariffs and the trend of consolidations within the health care industry, impact our current performance and continue to represent a risk to our future performance.</w:t>
      </w:r>
    </w:p>
    <w:p>
      <w:pPr>
        <w:spacing w:after="0" w:line="1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CooperVision </w:t>
      </w:r>
      <w:r>
        <w:rPr>
          <w:rFonts w:ascii="Arial" w:cs="Arial" w:eastAsia="Arial" w:hAnsi="Arial"/>
          <w:sz w:val="18"/>
          <w:szCs w:val="18"/>
          <w:color w:val="auto"/>
        </w:rPr>
        <w:t>- We compete in the worldwide contact lens market with our spherical, toric and multifocal contact lenses offered in a variety of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using silicone hydrogel Aquaform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and phosphorylcholine technology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Recent acquisitions also expanded CooperVision's access to myopia management markets with new products, such as orthokeratology (ortho-k), specialty contact lenses and oxygen permeable rigid contact lens material. CooperVision is focused on greater worldwide market penetration using recently introduced products, and we continue to expand our presence in existing and emerging markets, including through acquisitions.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entity during the six months ended April 30, 2019:</w:t>
      </w:r>
    </w:p>
    <w:p>
      <w:pPr>
        <w:spacing w:after="0" w:line="225" w:lineRule="exact"/>
        <w:rPr>
          <w:sz w:val="20"/>
          <w:szCs w:val="20"/>
          <w:color w:val="auto"/>
        </w:rPr>
      </w:pPr>
    </w:p>
    <w:p>
      <w:pPr>
        <w:ind w:left="660" w:right="2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Blanchard Contact Lenses on December 28, 2018 - a privately-held scleral lens company, which expands CooperVision's specialty and scleral lens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entities during the six months ended April 30, 2018:</w:t>
      </w:r>
    </w:p>
    <w:p>
      <w:pPr>
        <w:spacing w:after="0" w:line="171" w:lineRule="exact"/>
        <w:rPr>
          <w:sz w:val="20"/>
          <w:szCs w:val="20"/>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Blueyes on January 4, 2018 - a long-standing distribution partner, which had a leading position in the distribution of contact lenses to the optical and pharmacy sector in Israel</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Paragon Vision Sciences on December 1, 2017 - a leading provider of orthokeratology (ortho-k) specialty contact lenses and oxygen permeable rigid contact lens materials.</w:t>
      </w:r>
    </w:p>
    <w:p>
      <w:pPr>
        <w:spacing w:after="0" w:line="116"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daily silicone hydrogel franchises,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MyDay</w:t>
      </w:r>
      <w:r>
        <w:rPr>
          <w:rFonts w:ascii="Arial" w:cs="Arial" w:eastAsia="Arial" w:hAnsi="Arial"/>
          <w:sz w:val="25"/>
          <w:szCs w:val="25"/>
          <w:color w:val="auto"/>
          <w:vertAlign w:val="superscript"/>
        </w:rPr>
        <w:t>®</w:t>
      </w:r>
      <w:r>
        <w:rPr>
          <w:rFonts w:ascii="Arial" w:cs="Arial" w:eastAsia="Arial" w:hAnsi="Arial"/>
          <w:sz w:val="18"/>
          <w:szCs w:val="18"/>
          <w:color w:val="auto"/>
        </w:rPr>
        <w:t>, remain a focus as we expect increasing demand for these products, as well as future single-use products as the global contact lens market continues to shift in this direction. Outside of dailies, the Biofinity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Avaira Vitality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5"/>
          <w:szCs w:val="25"/>
          <w:color w:val="auto"/>
          <w:vertAlign w:val="superscript"/>
        </w:rPr>
        <w:t>®</w:t>
      </w:r>
      <w:r>
        <w:rPr>
          <w:rFonts w:ascii="Arial" w:cs="Arial" w:eastAsia="Arial" w:hAnsi="Arial"/>
          <w:sz w:val="18"/>
          <w:szCs w:val="18"/>
          <w:color w:val="auto"/>
        </w:rPr>
        <w:t>, which helps individuals with digital eye fatigue.</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CooperSurgical - </w:t>
      </w:r>
      <w:r>
        <w:rPr>
          <w:rFonts w:ascii="Arial" w:cs="Arial" w:eastAsia="Arial" w:hAnsi="Arial"/>
          <w:sz w:val="18"/>
          <w:szCs w:val="18"/>
          <w:color w:val="auto"/>
        </w:rPr>
        <w:t>Our CooperSurgical business competes in the general health care market with a focus on advancing the health of women, babies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families through a diversified portfolio of products and services focusing on women's health, fertility, diagnostics and contraception. CooperSurgical has established its market presence and distribution system by developing products and acquiring companies, products and services that complement its business model.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entity during the six months ended April 30, 2019:</w:t>
      </w:r>
    </w:p>
    <w:p>
      <w:pPr>
        <w:spacing w:after="0" w:line="171" w:lineRule="exact"/>
        <w:rPr>
          <w:sz w:val="20"/>
          <w:szCs w:val="20"/>
          <w:color w:val="auto"/>
        </w:rPr>
      </w:pPr>
    </w:p>
    <w:p>
      <w:pPr>
        <w:ind w:left="660" w:right="2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Incisive Surgical Inc. on December 31, 2018 - a privately-held U.S. medical device company that develops mechanical surgical solutions for skin closure.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entities during the six months ended April 30, 2018:</w:t>
      </w:r>
    </w:p>
    <w:p>
      <w:pPr>
        <w:spacing w:after="0" w:line="171" w:lineRule="exact"/>
        <w:rPr>
          <w:sz w:val="20"/>
          <w:szCs w:val="20"/>
          <w:color w:val="auto"/>
        </w:rPr>
      </w:pPr>
    </w:p>
    <w:p>
      <w:pPr>
        <w:ind w:left="660" w:right="4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LifeGlobal Group on April 3, 2018 - a privately held company that specializes primarily in IVF media. LifeGlobal’s product categories include media products, IVF laboratory air filtration products and dishware</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PARAGARD on November 1, 2017 - CooperSurgical acquired the assets of the PARAGARD IUD business from Teva for $1.1 billion. PARAGARD broadened and strengthened CooperSurgical's women's health product portfolio and it is the only non-hormonal, long lasting, reversible contraceptive option approved by the FDA and available in</w:t>
      </w:r>
    </w:p>
    <w:p>
      <w:pPr>
        <w:sectPr>
          <w:pgSz w:w="11900" w:h="16838" w:orient="portrait"/>
          <w:cols w:equalWidth="0" w:num="1">
            <w:col w:w="11400"/>
          </w:cols>
          <w:pgMar w:left="240" w:top="121"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1"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United States. IUDs represent a large and growing segment of the Long Acting Reversible Contraceptive market.</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intend to continue investing in CooperSurgical's business with the goal of expanding our integrated solutions model within the areas of women's health, fertility, diagnostics and contraception.</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i w:val="1"/>
          <w:iCs w:val="1"/>
          <w:color w:val="auto"/>
        </w:rPr>
        <w:t xml:space="preserve">Capital Resources - </w:t>
      </w:r>
      <w:r>
        <w:rPr>
          <w:rFonts w:ascii="Arial" w:cs="Arial" w:eastAsia="Arial" w:hAnsi="Arial"/>
          <w:sz w:val="17"/>
          <w:szCs w:val="17"/>
          <w:color w:val="auto"/>
        </w:rPr>
        <w:t>At April 30, 2019, we had $104.6 million in unrestricted cash, primarily held outside the United States, and $999.5 million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2016 Revolving Credit Facility (as defined below). Term loans of $1,875.0 million remained outstanding at April 30, 2019.</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November 1, 2018, the Company entered into a 364-day, $400.0 million, senior unsecured term loan agreement by and among the Company, the lenders party thereto and PNC Bank, National Association, as administrative agent which matures on October 31, 2019 (the 2018 Term Loan Agreement). The Company used the funds to partially repay outstanding borrowings under the 2016 Revolving Credit Facility. At April 30, 2019, we had $400.0 million outstanding under the 2018 Term Loan Agreement.</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November 1, 2017, we entered into a $1.425 billion syndicated Term Loan Agreement (the 2017 Term Loan Agreement) which matures on November 1, 2022, to fund the acquisition of PARAGARD, to partially repay outstanding amounts under the 2016 Revolving Credit Facility, and for general corporate purposes. At April 30, 2019, we had $1.425 billion outstanding under the 2017 Term Loan Agreement.</w:t>
      </w:r>
    </w:p>
    <w:p>
      <w:pPr>
        <w:spacing w:after="0" w:line="12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March 1, 2016, we entered into a syndicated revolving Credit and Term Loan Agreement (the 2016 Credit Agreement). This agreement, maturing on March 1, 2021, provides for a multi-currency revolving credit facility in an aggregate principal amount of $1.0 billion (the 2016 Revolving Credit Facility) and a term loan facility in the aggregate principal amount of $830.0 million (the 2016 Term Loan Facility). At April 30, 2019, we had $50.0 million outstanding under the 2016 Term Loan Facility. See Note 6. Debt of the Consolidated Financial Statements for additional information.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believes that current cash, cash equivalents and future cash flow from operating activities will be sufficient to meet the Company’s anticipated cash needs, including working capital needs, capital expenditures and contractual obligations for at least 12 months from the issuance date of the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Net Sales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Six Months</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40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Percentage of Sales</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2019 vs 2018</w:t>
            </w:r>
          </w:p>
        </w:tc>
        <w:tc>
          <w:tcPr>
            <w:tcW w:w="244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Percentage of Sales</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340" w:type="dxa"/>
            <w:vAlign w:val="bottom"/>
            <w:gridSpan w:val="2"/>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rPr>
              <w:t>% Change in</w:t>
            </w: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rPr>
              <w:t>% Change in</w:t>
            </w:r>
          </w:p>
        </w:tc>
        <w:tc>
          <w:tcPr>
            <w:tcW w:w="0" w:type="dxa"/>
            <w:vAlign w:val="bottom"/>
          </w:tcPr>
          <w:p>
            <w:pPr>
              <w:spacing w:after="0"/>
              <w:rPr>
                <w:sz w:val="1"/>
                <w:szCs w:val="1"/>
                <w:color w:val="auto"/>
              </w:rPr>
            </w:pPr>
          </w:p>
        </w:tc>
      </w:tr>
      <w:tr>
        <w:trPr>
          <w:trHeight w:val="38"/>
        </w:trPr>
        <w:tc>
          <w:tcPr>
            <w:tcW w:w="3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Absolute Values</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Absolute Values</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Impairment of intangibles</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Gain on sale of an intangible</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7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Growth by Business Unit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20" w:type="dxa"/>
            <w:vAlign w:val="bottom"/>
          </w:tcPr>
          <w:p>
            <w:pPr>
              <w:spacing w:after="0"/>
              <w:rPr>
                <w:sz w:val="13"/>
                <w:szCs w:val="13"/>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7"/>
              </w:rPr>
              <w:t>Increase</w:t>
            </w: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2019 vs 2018</w:t>
            </w:r>
          </w:p>
        </w:tc>
        <w:tc>
          <w:tcPr>
            <w:tcW w:w="26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Increase</w:t>
            </w:r>
          </w:p>
        </w:tc>
        <w:tc>
          <w:tcPr>
            <w:tcW w:w="122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27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3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2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19.1</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1,282.4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1,221.3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w:t>
      </w:r>
    </w:p>
    <w:p>
      <w:pPr>
        <w:spacing w:after="0" w:line="171" w:lineRule="exact"/>
        <w:rPr>
          <w:rFonts w:ascii="Arial" w:cs="Arial" w:eastAsia="Arial" w:hAnsi="Arial"/>
          <w:sz w:val="18"/>
          <w:szCs w:val="18"/>
          <w:color w:val="auto"/>
        </w:rPr>
      </w:pPr>
    </w:p>
    <w:p>
      <w:pPr>
        <w:ind w:left="340" w:right="68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17145</wp:posOffset>
            </wp:positionV>
            <wp:extent cx="5145405" cy="2452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3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46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4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440" w:type="dxa"/>
            <w:vAlign w:val="bottom"/>
          </w:tcPr>
          <w:p>
            <w:pPr>
              <w:jc w:val="right"/>
              <w:ind w:right="295"/>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Toric</w:t>
            </w:r>
          </w:p>
        </w:tc>
        <w:tc>
          <w:tcPr>
            <w:tcW w:w="3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155.3</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150.8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Multifocal</w:t>
            </w: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21"/>
                <w:szCs w:val="21"/>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49.1</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Single-use spheres</w:t>
            </w:r>
          </w:p>
        </w:tc>
        <w:tc>
          <w:tcPr>
            <w:tcW w:w="3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135.3</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124.4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Non single-use sphere, other</w:t>
            </w: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143.9</w:t>
            </w:r>
          </w:p>
        </w:tc>
        <w:tc>
          <w:tcPr>
            <w:tcW w:w="200" w:type="dxa"/>
            <w:vAlign w:val="bottom"/>
          </w:tcPr>
          <w:p>
            <w:pPr>
              <w:spacing w:after="0"/>
              <w:rPr>
                <w:sz w:val="21"/>
                <w:szCs w:val="21"/>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143.2</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c>
          <w:tcPr>
            <w:tcW w:w="3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484.2</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467.5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Arial" w:cs="Arial" w:eastAsia="Arial" w:hAnsi="Arial"/>
                <w:sz w:val="18"/>
                <w:szCs w:val="18"/>
                <w:color w:val="auto"/>
              </w:rPr>
              <w:t>26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571500</wp:posOffset>
            </wp:positionV>
            <wp:extent cx="5145405" cy="2452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0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3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5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70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540" w:type="dxa"/>
            <w:vAlign w:val="bottom"/>
          </w:tcPr>
          <w:p>
            <w:pPr>
              <w:jc w:val="right"/>
              <w:ind w:right="295"/>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Toric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060" w:type="dxa"/>
            <w:vAlign w:val="bottom"/>
            <w:gridSpan w:val="3"/>
          </w:tcPr>
          <w:p>
            <w:pPr>
              <w:ind w:left="40"/>
              <w:spacing w:after="0"/>
              <w:rPr>
                <w:sz w:val="20"/>
                <w:szCs w:val="20"/>
                <w:color w:val="auto"/>
              </w:rPr>
            </w:pPr>
            <w:r>
              <w:rPr>
                <w:rFonts w:ascii="Arial" w:cs="Arial" w:eastAsia="Arial" w:hAnsi="Arial"/>
                <w:sz w:val="18"/>
                <w:szCs w:val="18"/>
                <w:color w:val="auto"/>
              </w:rPr>
              <w:t>Multifocal</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96.1</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Single-use spheres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060" w:type="dxa"/>
            <w:vAlign w:val="bottom"/>
            <w:gridSpan w:val="3"/>
          </w:tcPr>
          <w:p>
            <w:pPr>
              <w:ind w:left="40"/>
              <w:spacing w:after="0"/>
              <w:rPr>
                <w:sz w:val="20"/>
                <w:szCs w:val="20"/>
                <w:color w:val="auto"/>
              </w:rPr>
            </w:pPr>
            <w:r>
              <w:rPr>
                <w:rFonts w:ascii="Arial" w:cs="Arial" w:eastAsia="Arial" w:hAnsi="Arial"/>
                <w:sz w:val="18"/>
                <w:szCs w:val="18"/>
                <w:color w:val="auto"/>
              </w:rPr>
              <w:t>Non single-use sphere, other</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286.9</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954.3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912.3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and six months ended April 30, 2019:</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Toric and multifocal lenses grew primarily through the success of Biofinity, clariti and MyDay</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Single-use sphere lenses growth was primarily attributed to clariti and MyDay lenses</w:t>
      </w:r>
    </w:p>
    <w:p>
      <w:pPr>
        <w:spacing w:after="0" w:line="17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Non-single-use spheres increased in three months ended and remained relatively flat in six months ended, compared to fiscal 2018 due to higher Biofinity sales, partially offset by the negative impact of foreign exchange rates</w:t>
      </w:r>
    </w:p>
    <w:p>
      <w:pPr>
        <w:spacing w:after="0" w:line="116"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products primarily include lens care which represent approximately 2% of net sales in the three and six months ended, compared to 3% in prior year comparative periods</w:t>
      </w:r>
    </w:p>
    <w:p>
      <w:pPr>
        <w:spacing w:after="0" w:line="116" w:lineRule="exact"/>
        <w:rPr>
          <w:rFonts w:ascii="Arial" w:cs="Arial" w:eastAsia="Arial" w:hAnsi="Arial"/>
          <w:sz w:val="18"/>
          <w:szCs w:val="18"/>
          <w:color w:val="auto"/>
        </w:rPr>
      </w:pPr>
    </w:p>
    <w:p>
      <w:pPr>
        <w:ind w:left="340" w:right="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sales of silicone hydrogel products were partially offset by lower sales of older hydrogel products. Total silicone hydrogel products grew 9% and 10% in three and six months ended, respectively, representing 71% of net sales in the three and six months ended April 30, 2019 compared to 68% in the three and six months ended April 30, 2018</w:t>
      </w:r>
    </w:p>
    <w:p>
      <w:pPr>
        <w:spacing w:after="0" w:line="127"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exchange rates negatively impacted sales by approximately $22.3 million and $35.6 million in the three and six months ended, respectively, primarily attributable to the Euro and British Pound</w:t>
      </w:r>
    </w:p>
    <w:p>
      <w:pPr>
        <w:spacing w:after="0" w:line="116" w:lineRule="exact"/>
        <w:rPr>
          <w:rFonts w:ascii="Arial" w:cs="Arial" w:eastAsia="Arial" w:hAnsi="Arial"/>
          <w:sz w:val="18"/>
          <w:szCs w:val="18"/>
          <w:color w:val="auto"/>
        </w:rPr>
      </w:pPr>
    </w:p>
    <w:p>
      <w:pPr>
        <w:ind w:left="340" w:right="58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growth was primarily driven by increases in the volume of lenses sold. Average realized prices by product did not materially influence sales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in three primary regions: the Americas, EMEA (Europe, Middle East and Africa) and Asia Pacific.</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Three Months</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Six Months</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2019 vs 2018</w:t>
            </w:r>
          </w:p>
        </w:tc>
        <w:tc>
          <w:tcPr>
            <w:tcW w:w="26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32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32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183.6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352.8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183.3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361.2</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198.3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484.2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467.5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954.3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912.3</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CooperVision's regional growth in Americas and Asia Pacific was primarily attributable to market gains of silicone hydrogel contact lenses. However, the negative impact of foreign exchange rates resulted in reduction of EMEA growth. Refer to CooperVision Net Sales by Category above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net sales of office and surgical procedures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117475</wp:posOffset>
            </wp:positionV>
            <wp:extent cx="5145405" cy="245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12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3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58"/>
        </w:trPr>
        <w:tc>
          <w:tcPr>
            <w:tcW w:w="71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Office and surgical procedures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3"/>
          </w:tcPr>
          <w:p>
            <w:pPr>
              <w:ind w:left="40"/>
              <w:spacing w:after="0"/>
              <w:rPr>
                <w:sz w:val="20"/>
                <w:szCs w:val="20"/>
                <w:color w:val="auto"/>
              </w:rPr>
            </w:pPr>
            <w:r>
              <w:rPr>
                <w:rFonts w:ascii="Arial" w:cs="Arial" w:eastAsia="Arial" w:hAnsi="Arial"/>
                <w:sz w:val="18"/>
                <w:szCs w:val="18"/>
                <w:color w:val="auto"/>
              </w:rPr>
              <w:t>Fertility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571500</wp:posOffset>
            </wp:positionV>
            <wp:extent cx="5145405" cy="2452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1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3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58"/>
        </w:trPr>
        <w:tc>
          <w:tcPr>
            <w:tcW w:w="71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Office and surgical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Fertility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328.1</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309.0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2019:</w:t>
      </w:r>
    </w:p>
    <w:p>
      <w:pPr>
        <w:spacing w:after="0" w:line="171" w:lineRule="exact"/>
        <w:rPr>
          <w:sz w:val="20"/>
          <w:szCs w:val="20"/>
          <w:color w:val="auto"/>
        </w:rPr>
      </w:pPr>
    </w:p>
    <w:p>
      <w:pPr>
        <w:ind w:left="340" w:right="220" w:hanging="332"/>
        <w:spacing w:after="0" w:line="25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Office and surgical procedures increased compared to prior year periods due to continued growth in PARAGARD and surgical products, primarily Uterine Manipulators, Surgical Retractors and recently acquired products of Incisive Surgical, partially offset by decrease in revenue on Filshie Clip system. On February 1, 2019, the Company agreed to the early termination of an exclusive distribution agreement which had given CooperSurgical the rights to distribute the Filshie Clip System in the United States.</w:t>
      </w:r>
    </w:p>
    <w:p>
      <w:pPr>
        <w:spacing w:after="0" w:line="132" w:lineRule="exact"/>
        <w:rPr>
          <w:rFonts w:ascii="Arial" w:cs="Arial" w:eastAsia="Arial" w:hAnsi="Arial"/>
          <w:sz w:val="18"/>
          <w:szCs w:val="18"/>
          <w:color w:val="auto"/>
        </w:rPr>
      </w:pPr>
    </w:p>
    <w:p>
      <w:pPr>
        <w:ind w:left="340" w:right="260" w:hanging="332"/>
        <w:spacing w:after="0" w:line="31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three months ended April 30, 2019, Fertility net sales decreased due to the exit of the carrier screening and non-invasive prenatal testing (NIPT) product lines on June 1, 2018. However, Fertility net sales increased in six months ended April 30, 2019 compared to fiscal 2018, primarily due to increased sales of IVF consumables, IVF equipment and LifeGlobal products, partially offset by a decrease in diagnostics revenue</w:t>
      </w:r>
    </w:p>
    <w:p>
      <w:pPr>
        <w:spacing w:after="0" w:line="92"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Unit growth and product mix positively impacted sales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Profit Percentage of Net Sales</w:t>
            </w:r>
          </w:p>
        </w:tc>
        <w:tc>
          <w:tcPr>
            <w:tcW w:w="21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Three Months</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Six Months</w:t>
            </w:r>
          </w:p>
        </w:tc>
        <w:tc>
          <w:tcPr>
            <w:tcW w:w="106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tcPr>
          <w:p>
            <w:pPr>
              <w:jc w:val="right"/>
              <w:ind w:right="1117"/>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15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66%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CooperSurgical</w:t>
            </w:r>
          </w:p>
        </w:tc>
        <w:tc>
          <w:tcPr>
            <w:tcW w:w="1520" w:type="dxa"/>
            <w:vAlign w:val="bottom"/>
          </w:tcPr>
          <w:p>
            <w:pPr>
              <w:ind w:left="1140"/>
              <w:spacing w:after="0"/>
              <w:rPr>
                <w:sz w:val="20"/>
                <w:szCs w:val="20"/>
                <w:color w:val="auto"/>
              </w:rPr>
            </w:pPr>
            <w:r>
              <w:rPr>
                <w:rFonts w:ascii="Arial" w:cs="Arial" w:eastAsia="Arial" w:hAnsi="Arial"/>
                <w:sz w:val="18"/>
                <w:szCs w:val="18"/>
                <w:color w:val="auto"/>
                <w:w w:val="99"/>
              </w:rPr>
              <w:t>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100" w:type="dxa"/>
            <w:vAlign w:val="bottom"/>
          </w:tcPr>
          <w:p>
            <w:pPr>
              <w:jc w:val="right"/>
              <w:ind w:right="537"/>
              <w:spacing w:after="0"/>
              <w:rPr>
                <w:sz w:val="20"/>
                <w:szCs w:val="20"/>
                <w:color w:val="auto"/>
              </w:rPr>
            </w:pPr>
            <w:r>
              <w:rPr>
                <w:rFonts w:ascii="Arial" w:cs="Arial" w:eastAsia="Arial" w:hAnsi="Arial"/>
                <w:sz w:val="18"/>
                <w:szCs w:val="18"/>
                <w:color w:val="auto"/>
              </w:rPr>
              <w:t>68%</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52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9"/>
              </w:rPr>
              <w:t>66%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66%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4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CooperVision's gross margin decreased in the three months and remained relatively flat in the six months ended April 30, 2019 compared to fiscal 2018 due to:</w:t>
      </w:r>
    </w:p>
    <w:p>
      <w:pPr>
        <w:spacing w:after="0" w:line="11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unfavorable impact to revenue from exchange rate fluctuations, primarily attributable to the Euro and British Pound; and product mix;</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$3.6 million and $4.7 million of acquisition, integration and manufacturing related cost;</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partially offset by an increase in sales of higher margin products including Biofinity.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CooperSurgical's increase in gross margin in the three and six months ended April 30, 2019 compared to fiscal 2018 due to:</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sales of PARAGARD IUD product and inclusion of LifeGlobal products with higher gross margin;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partially offset by $4.1 million and $8.3 million of acquisition, integration and manufacturing 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three and six months ended April 30, 2018 included $18.4 million and $35.4 million, respectively, of PARAGARD inventory step-up charges.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 (SGA)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28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169.0</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164.1</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68.1</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64.8</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40%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246.8</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247.9</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line="20" w:lineRule="exact"/>
              <w:rPr>
                <w:sz w:val="1"/>
                <w:szCs w:val="1"/>
                <w:color w:val="auto"/>
              </w:rPr>
            </w:pPr>
          </w:p>
        </w:tc>
      </w:tr>
      <w:tr>
        <w:trPr>
          <w:trHeight w:val="437"/>
        </w:trPr>
        <w:tc>
          <w:tcPr>
            <w:tcW w:w="50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337.7</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322.0</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136.9</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120.0</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496.8</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39%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473.8</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CooperVision's SGA increased in the three and six months ended April 30, 2019 compared to fiscal 2018 due to investments to support our long-term objectives, including increased headcount in SGA, investments in information technology and higher distribution expenses to support revenue growth. CooperVision's SGA in the three and six months ended April 30, 2019 included $2.1 million and $4.5 million of integration and third-party consulting costs, respectively. CooperVision's SGA in the prior year periods included $2.8 million and $5.3 million of integration and third-party consulting costs, in the three and six months ended April 30, 2018, respectively.</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increases in CooperSurgical's SGA in the three and six months ended April 30, 2019 compared to fiscal 2018 was primarily due to higher PARAGARD advertising and marketing expenses. CooperSurgical's SGA in the three and six months ended April 30, 2019, included $4.0 million and $12.4 million of primarily acquisition and integration expenses of acquired companies, as well as third-party consulting costs. CooperSurgical's SGA in the prior year periods included $8.6 million and $14.8 million of primarily acquisition and integration expenses of acquired companies, including legal and professional fees, in the three and six months ended April 30, 2018, respectively.</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Corporate SGA decreased in the three and six months ended April 30, 2019 compared to fiscal 2018 due to $6.2 million of compensation costs related to executives' retirements in fiscal 2018.</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21"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(R&amp;D)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40" w:type="dxa"/>
            <w:vAlign w:val="bottom"/>
          </w:tcPr>
          <w:p>
            <w:pPr>
              <w:spacing w:after="0"/>
              <w:rPr>
                <w:sz w:val="14"/>
                <w:szCs w:val="14"/>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Net</w:t>
            </w:r>
          </w:p>
        </w:tc>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8"/>
        </w:trPr>
        <w:tc>
          <w:tcPr>
            <w:tcW w:w="468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42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 Net</w:t>
            </w:r>
          </w:p>
        </w:tc>
        <w:tc>
          <w:tcPr>
            <w:tcW w:w="14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line="20" w:lineRule="exact"/>
              <w:rPr>
                <w:sz w:val="1"/>
                <w:szCs w:val="1"/>
                <w:color w:val="auto"/>
              </w:rPr>
            </w:pPr>
          </w:p>
        </w:tc>
      </w:tr>
      <w:tr>
        <w:trPr>
          <w:trHeight w:val="437"/>
        </w:trPr>
        <w:tc>
          <w:tcPr>
            <w:tcW w:w="46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68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420" w:type="dxa"/>
            <w:vAlign w:val="bottom"/>
          </w:tcPr>
          <w:p>
            <w:pPr>
              <w:jc w:val="right"/>
              <w:ind w:right="29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and six months ended April 30, 2019:</w:t>
      </w:r>
    </w:p>
    <w:p>
      <w:pPr>
        <w:spacing w:after="0" w:line="171" w:lineRule="exact"/>
        <w:rPr>
          <w:sz w:val="20"/>
          <w:szCs w:val="20"/>
          <w:color w:val="auto"/>
        </w:rPr>
      </w:pPr>
    </w:p>
    <w:p>
      <w:pPr>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CooperVision's R&amp;D increased in absolute dollars in the six months ended April 30, 2019 compared to fiscal 2018, mainly due to increased costs from acquisitions and clinical studies. As a percentage of sales, R&amp;D expense remained flat. CooperVision's R&amp;D activities are primarily focused on the development of contact lenses, manufacturing technology and process enhancements</w:t>
      </w:r>
    </w:p>
    <w:p>
      <w:pPr>
        <w:spacing w:after="0" w:line="127" w:lineRule="exact"/>
        <w:rPr>
          <w:rFonts w:ascii="Arial" w:cs="Arial" w:eastAsia="Arial" w:hAnsi="Arial"/>
          <w:sz w:val="18"/>
          <w:szCs w:val="18"/>
          <w:color w:val="auto"/>
        </w:rPr>
      </w:pPr>
    </w:p>
    <w:p>
      <w:pPr>
        <w:ind w:left="660" w:right="48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increase in CooperSurgical's R&amp;D were primarily due to acquisitions, increased investment and activities in developing new products and services and upgrades of existing products. As a percentage of sales, R&amp;D expense remained flat. CooperSurgical's R&amp;D activities include diagnostics, IVF product development and the design and upgrade of surgical procedure devices.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28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26.1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line="20" w:lineRule="exact"/>
              <w:rPr>
                <w:sz w:val="1"/>
                <w:szCs w:val="1"/>
                <w:color w:val="auto"/>
              </w:rPr>
            </w:pPr>
          </w:p>
        </w:tc>
      </w:tr>
      <w:tr>
        <w:trPr>
          <w:trHeight w:val="437"/>
        </w:trPr>
        <w:tc>
          <w:tcPr>
            <w:tcW w:w="50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52.3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51.3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73.5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CooperVision and CooperSurgical's amortization expense remained relatively flat in the three and six months ended April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second quarter of fiscal 2018, CooperSurgical recognized an impairment charge of $24.4 million on the intangible assets acquired from Recombine Inc. In fiscal 2016, CooperSurgical acquired Recombine Inc., a clinical genetic testing company specializing in carrier screening. In connection with the impairment charge, on June 1, 2018, CooperSurgical announced the exit of the carrier screening business, along with the non-invasive prenatal testing (NIPT) product lines. Both product lines were categorized in Fertility.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an Intangible Asset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fiscal 2019, CooperSurgical sold an exclusive distribution right for $21.0 million and recognized a gain of $19.0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280" w:type="dxa"/>
            <w:vAlign w:val="bottom"/>
          </w:tcPr>
          <w:p>
            <w:pPr>
              <w:spacing w:after="0"/>
              <w:rPr>
                <w:sz w:val="14"/>
                <w:szCs w:val="1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58"/>
        </w:trPr>
        <w:tc>
          <w:tcPr>
            <w:tcW w:w="51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125.5</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146.9</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line="20" w:lineRule="exact"/>
              <w:rPr>
                <w:sz w:val="1"/>
                <w:szCs w:val="1"/>
                <w:color w:val="auto"/>
              </w:rPr>
            </w:pPr>
          </w:p>
        </w:tc>
      </w:tr>
      <w:tr>
        <w:trPr>
          <w:trHeight w:val="437"/>
        </w:trPr>
        <w:tc>
          <w:tcPr>
            <w:tcW w:w="51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1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241.7</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9"/>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38.3</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257.8</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w w:val="99"/>
              </w:rPr>
              <w:t>20%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CooperVision operating income remained relatively flat as a percentage of net sales and increased in absolute dollars in the three and six months ended April 30, 2019 compared to fiscal 2018 due to improved sales of higher margin products, including Biofinity, partially offset by the negative impact of foreign exchange rates.</w:t>
      </w:r>
    </w:p>
    <w:p>
      <w:pPr>
        <w:spacing w:after="0" w:line="18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CooperSurgical operating income increased in the three and six months ended April 30, 2019 compared to fiscal 2018, due to increase in sales of higher margin products, gain of $19.0 million on sale of an intangible asset, as discussed above, and recent acquisitions. CooperSurgical operating income in the three and six months ended April 30, 2018 included $18.4 million and $35.4 million, respectively, of PARAGARD inventory step up charges and an intangible asset impairment charge of $24.4 million.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Corporate operating loss decreased primarily due to higher compensation costs related to executives' retirements which impacted the prior year periods.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On a consolidated basis, operating income increased due to the factors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280" w:type="dxa"/>
            <w:vAlign w:val="bottom"/>
          </w:tcPr>
          <w:p>
            <w:pPr>
              <w:spacing w:after="0"/>
              <w:rPr>
                <w:sz w:val="14"/>
                <w:szCs w:val="14"/>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Pr>
          <w:p>
            <w:pPr>
              <w:spacing w:after="0"/>
              <w:rPr>
                <w:sz w:val="14"/>
                <w:szCs w:val="14"/>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2019 vs 2018</w:t>
            </w: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2019 vs 2018</w:t>
            </w:r>
          </w:p>
        </w:tc>
        <w:tc>
          <w:tcPr>
            <w:tcW w:w="0" w:type="dxa"/>
            <w:vAlign w:val="bottom"/>
          </w:tcPr>
          <w:p>
            <w:pPr>
              <w:spacing w:after="0" w:line="20" w:lineRule="exact"/>
              <w:rPr>
                <w:sz w:val="1"/>
                <w:szCs w:val="1"/>
                <w:color w:val="auto"/>
              </w:rPr>
            </w:pPr>
          </w:p>
        </w:tc>
      </w:tr>
      <w:tr>
        <w:trPr>
          <w:trHeight w:val="477"/>
        </w:trPr>
        <w:tc>
          <w:tcPr>
            <w:tcW w:w="50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Net Sales</w:t>
            </w:r>
          </w:p>
        </w:tc>
        <w:tc>
          <w:tcPr>
            <w:tcW w:w="300" w:type="dxa"/>
            <w:vAlign w:val="bottom"/>
          </w:tcPr>
          <w:p>
            <w:pPr>
              <w:spacing w:after="0"/>
              <w:rPr>
                <w:sz w:val="24"/>
                <w:szCs w:val="24"/>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 Net Sales</w:t>
            </w: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36.6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37.1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expense remained relatively flat as a percentage of net sales and decreased in absolute dollar primarily due to lower average debt balances as a result of repayments, partially offset by higher interest rates.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Six Months</w:t>
            </w:r>
          </w:p>
        </w:tc>
        <w:tc>
          <w:tcPr>
            <w:tcW w:w="102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60" w:type="dxa"/>
            <w:vAlign w:val="bottom"/>
          </w:tcPr>
          <w:p>
            <w:pPr>
              <w:spacing w:after="0"/>
              <w:rPr>
                <w:sz w:val="19"/>
                <w:szCs w:val="19"/>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loss (gain)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160"/>
        <w:spacing w:after="0" w:line="438" w:lineRule="auto"/>
        <w:rPr>
          <w:sz w:val="20"/>
          <w:szCs w:val="20"/>
          <w:color w:val="auto"/>
        </w:rPr>
      </w:pPr>
      <w:r>
        <w:rPr>
          <w:rFonts w:ascii="Arial" w:cs="Arial" w:eastAsia="Arial" w:hAnsi="Arial"/>
          <w:sz w:val="18"/>
          <w:szCs w:val="18"/>
          <w:color w:val="auto"/>
        </w:rPr>
        <w:t xml:space="preserve">Foreign exchange loss (gain) primarily resulted from the revaluation and settlement of foreign currencies-denominated balances. </w:t>
      </w:r>
      <w:r>
        <w:rPr>
          <w:rFonts w:ascii="Arial" w:cs="Arial" w:eastAsia="Arial" w:hAnsi="Arial"/>
          <w:sz w:val="18"/>
          <w:szCs w:val="18"/>
          <w:b w:val="1"/>
          <w:bCs w:val="1"/>
          <w:color w:val="auto"/>
        </w:rPr>
        <w:t>Provision for Income Taxes</w:t>
      </w:r>
    </w:p>
    <w:p>
      <w:pPr>
        <w:spacing w:after="0" w:line="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Company's effective tax rates were an expense of 4.5% and a benefit of 12.9% for the second quarters of fiscal 2019 and fiscal 2018, respectively, and a benefit of 1.7% and an expense of 147.8% for the first six months of fiscal 2019 and 2018, respectively. The increase in our effective tax rate for the second quarter of fiscal 2019 compared to fiscal 2018 was primarily due to the inclusion of earnings from our foreign subsidiaries pursuant to the GILTI provisions that became effective in fiscal 2019. The decrease in our effective tax rate for the first six months of fiscal 2019 compared to fiscal 2018 was primarily due to the provisional charge of $202.0 million relating to the 2017 Act that was recorded in the first quarter of fiscal 2018. Our effective tax rate for the six months of fiscal 2019 was lower than the U.S. statutory rate because of discrete tax benefits and a favorable mix of income from our foreign jurisdictions with lower tax rates. Total discrete tax benefits for the first six months of fiscal 2019 were $23.1 million primarily relating to settlement of tax audits, revisions to the provisional tax charges relating to the 2017 Act, and excess tax benefits from share-based compensation. Our effective tax rate for the first six months of fiscal 2018 was higher than the U.S. statutory rate because of the discrete tax expense relating to the 2017 Act, which was partially offset by a favorable mix of income from our foreign jurisdictions with lower tax rates and an excess tax benefit from share-based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Cooper has several share-based compensation plans that are described in our Annual Report on Form 10-K for the fiscal year ended October 31, 2018. The compensation expense and related income tax benefit recognized in our consolidated condensed financial statements for share-based awards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84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9"/>
                <w:szCs w:val="19"/>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share-based compensation expense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26.3</w:t>
            </w: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51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56"/>
        </w:trPr>
        <w:tc>
          <w:tcPr>
            <w:tcW w:w="60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March 18, 2019, the Company received stockholder approval of the Employee Stock Purchase Plan (“ESPP”). The first offering period is for U.S. employees and is expected to begin on November 4, 2019. The purpose of the ESPP is to provide eligible employees of the Company with the opportunity to acquire shares of common stock at 85% of the market price on the last business day of each offering period by means of accumulated payroll deductions. Payroll deductions will be limited to maximum of 15% of the employee’s eligible compensation, not to exceed $21,250 in any one calendar year. The ESPP would initially authorize the issuance of 1,000,000 shares of common stock. These shares will be made available from shares of common stock reacquired by the Company as Treasury Stock. At April 30, 2019, there were approximately 3.6 million Treasury shares.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cash flow was $214.8 million compared to $170.8 million in the second quarter of fiscal 2018</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were $52.7 million compared to $46.5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Highlights</w:t>
      </w:r>
    </w:p>
    <w:p>
      <w:pPr>
        <w:spacing w:after="0" w:line="17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cash flow was $316.6 million compared to $197.1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were $131.9 million compared to $97.9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payments for acquisitions and others, of $50.8 million, compared to $1,320.7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6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Arial" w:cs="Arial" w:eastAsia="Arial" w:hAnsi="Arial"/>
                <w:sz w:val="14"/>
                <w:szCs w:val="14"/>
                <w:b w:val="1"/>
                <w:bCs w:val="1"/>
                <w:color w:val="auto"/>
              </w:rPr>
              <w:t>April 30, 2019</w:t>
            </w:r>
          </w:p>
        </w:tc>
        <w:tc>
          <w:tcPr>
            <w:tcW w:w="320" w:type="dxa"/>
            <w:vAlign w:val="bottom"/>
          </w:tcPr>
          <w:p>
            <w:pPr>
              <w:spacing w:after="0"/>
              <w:rPr>
                <w:sz w:val="14"/>
                <w:szCs w:val="14"/>
                <w:color w:val="auto"/>
              </w:rPr>
            </w:pPr>
          </w:p>
        </w:tc>
        <w:tc>
          <w:tcPr>
            <w:tcW w:w="1800" w:type="dxa"/>
            <w:vAlign w:val="bottom"/>
          </w:tcPr>
          <w:p>
            <w:pPr>
              <w:jc w:val="right"/>
              <w:ind w:right="452"/>
              <w:spacing w:after="0"/>
              <w:rPr>
                <w:sz w:val="20"/>
                <w:szCs w:val="20"/>
                <w:color w:val="auto"/>
              </w:rPr>
            </w:pPr>
            <w:r>
              <w:rPr>
                <w:rFonts w:ascii="Arial" w:cs="Arial" w:eastAsia="Arial" w:hAnsi="Arial"/>
                <w:sz w:val="14"/>
                <w:szCs w:val="14"/>
                <w:b w:val="1"/>
                <w:bCs w:val="1"/>
                <w:color w:val="auto"/>
              </w:rPr>
              <w:t>October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77.7</w:t>
            </w: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6,203.4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6,112.8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554.4</w:t>
            </w: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1,926.9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2,022.8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3,307.8</w:t>
            </w: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Ratio of debt to equity</w:t>
            </w:r>
          </w:p>
        </w:tc>
        <w:tc>
          <w:tcPr>
            <w:tcW w:w="360" w:type="dxa"/>
            <w:vAlign w:val="bottom"/>
          </w:tcPr>
          <w:p>
            <w:pPr>
              <w:spacing w:after="0"/>
              <w:rPr>
                <w:sz w:val="21"/>
                <w:szCs w:val="21"/>
                <w:color w:val="auto"/>
              </w:rPr>
            </w:pP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0.54:1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0.61:1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Debt as a percentage of total capitalization</w:t>
            </w:r>
          </w:p>
        </w:tc>
        <w:tc>
          <w:tcPr>
            <w:tcW w:w="3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working capital at April 30, 2019 from the end of fiscal 2018 was primarily due to:</w:t>
      </w:r>
    </w:p>
    <w:p>
      <w:pPr>
        <w:spacing w:after="0" w:line="171" w:lineRule="exact"/>
        <w:rPr>
          <w:sz w:val="20"/>
          <w:szCs w:val="20"/>
          <w:color w:val="auto"/>
        </w:rPr>
      </w:pPr>
    </w:p>
    <w:p>
      <w:pPr>
        <w:ind w:left="660" w:right="5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short-term debt ($417.5 million), primarily from the $400 million 2018 Term Loan Agreement entered into on November 1, 2018,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cash ($26.9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accounts receivables ($21.5 million) from increased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inventories ($24.3 million).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April 30, 2019, our inventory months on hand were 6.7 compared to 6.3 at October 31, 2018. The $24.3 million increase in inventories was primarily due to increase in finished goods and raw materials to support product launches and production levels.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days sales outstanding (DSO) remained flat at 53 days at April 30, 2019 and at October 31, 2018 and 60 days at April 30, 2018. The decrease in DSO was primarily due to increased revenue and timing of collections.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Accounts Receivable Factoring Program - We may factor certain designated trade receivables with one or more third party financial institutions pursuant to a factoring agreement. These are non-recourse factoring arrangements to assist us in managing operating cash flow and meet the requirements to be accounted for as sales in accordance with the “Transfers and Servicing” guidance in ASC 860, where the Company’s continuing involvement subsequent to the transfer is limited to providing certain servicing and collection actions on behalf of the purchasers of the designated trade receivables. See Note 1. General of the Consolidated Financial Statements for additional information.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increased by $119.5 million from $197.1 million during the first half of fiscal 2018 to $316.6 million in fiscal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cash flow provided by operating activities primarily consists of:</w:t>
      </w:r>
    </w:p>
    <w:p>
      <w:pPr>
        <w:spacing w:after="0" w:line="211" w:lineRule="exact"/>
        <w:rPr>
          <w:sz w:val="20"/>
          <w:szCs w:val="20"/>
          <w:color w:val="auto"/>
        </w:rPr>
      </w:pPr>
    </w:p>
    <w:p>
      <w:pPr>
        <w:ind w:left="660" w:right="20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in net income of $287.1 million from a net loss of $61.6 million during the first half of fiscal 2018 to net income of $225.5 million during the first half of fiscal 2019</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of $167.9 million in net cash flow from changes in operating capital, from $187.6 million outflow during first half of fiscal 2018 to $19.7 million outflow in fiscal 2019, partially offset by;</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of $296.0 million in non-cash items, from $286.3 million during first half of fiscal 2018 to $(9.7) million in fiscal 2019</w:t>
      </w:r>
    </w:p>
    <w:p>
      <w:pPr>
        <w:spacing w:after="0" w:line="9"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decrease of $24.4 million in impairment of intangibles, from $24.4 million during first half of fiscal 2018 to nil in fiscal 2019. Impairment charge was recognized by CooperSurgical on its exit of the carrier screening and non-invasive prenatal testing (NIPT) product lines</w:t>
      </w: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 of $19.0 million from gain on sale of an intangible asset by CooperSurgical of the Filshie Clip exclusive distribution agreement.</w:t>
      </w:r>
    </w:p>
    <w:p>
      <w:pPr>
        <w:spacing w:after="0" w:line="2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increase in net income of $287.1 million is primarily due to a $202.0 million provisional tax expense charge related to the 2017 Act which unfavorably impacted the first quarter of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$167.9 million increase in the net cash flow from changes in operating capital compared to the prior year period is primarily due to:</w:t>
      </w:r>
    </w:p>
    <w:p>
      <w:pPr>
        <w:spacing w:after="0" w:line="2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$113.6 million increase in the net changes in receivables from increased revenue</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$94.7 million increase in the net changes in prepayments and other assets primarily due to a $42.0 million payment to the U.K. Tax Authorities in prior year period compared to a $29.0 million refund in the current year</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$2.1 million increase in the net changes in inventories, partially offset by;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$23.8 million decrease in the net changes in accounts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$9.4 million decrease in the net changes in accrued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$3.4 million decrease in the net changes in income tax payable.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$296.0 million decrease from non-cash items compared to the prior year period is primarily due to:</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of $242.7 million driven by net changes in long term tax liabilities, deferred taxes and pension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$37.2 million of step-up charges related to inventory acquired mainly from PARAGARD in the prior year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of $8.3 million driven by net changes in other long term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Cash used in investing activities decreased by $1,235.9 million to $182.7 million in the first half of fiscal 2019 from $1,418.6 million in fiscal 2018 due to:</w:t>
      </w:r>
    </w:p>
    <w:p>
      <w:pPr>
        <w:spacing w:after="0" w:line="237" w:lineRule="exact"/>
        <w:rPr>
          <w:sz w:val="20"/>
          <w:szCs w:val="20"/>
          <w:color w:val="auto"/>
        </w:rPr>
      </w:pPr>
    </w:p>
    <w:p>
      <w:pPr>
        <w:ind w:left="660" w:right="22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of $1,269.9 million in payments made for acquisitions in the first half of fiscal 2019 compared to the prior year period, largely due to the acquisition of PARAGARD at $1.1 billion in first quarter of fiscal 2018, partially offset by;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of $34.0 million in capital expenditures primarily used to invest in the expansion of our manufacturing capacity.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Cash provided by financing activities decreased by $1,405.0 million to $108.7 million cash outflow in the first half of fiscal 2019 compared to $1,296.3 million inflow in first half of fiscal 2018, primarily due to:</w:t>
      </w:r>
    </w:p>
    <w:p>
      <w:pPr>
        <w:spacing w:after="0" w:line="170" w:lineRule="exact"/>
        <w:rPr>
          <w:sz w:val="20"/>
          <w:szCs w:val="20"/>
          <w:color w:val="auto"/>
        </w:rPr>
      </w:pPr>
    </w:p>
    <w:p>
      <w:pPr>
        <w:ind w:left="66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$1,810.0 million decrease of net proceeds from long-term debt primarily due to additional debt taken on to fund the PARAGARD acquisition in prior year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$6.1 million share repurchases were made in the first half of fiscal 2019 compared to nil in the fiscal 2018, partially offset by;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$401.0 million increase in short-term notes payable, primarily due to $400 million short term loan taken on November 1, 2018.</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As defined, in the 2018 Term Loan Agreement, the 2017 Term Loan Agreement and the 2016 Credit Agreement, we are required to maintain an Interest Coverage Ratio of at least 3.00 to 1.00, and a Total Leverage Ratio of no higher than 3.75 to 1.00.</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April 30, 2019, we had $999.5 million available under the 2016 Credit Agreement. We are in compliance with our financial covenants including the Interest Coverage Ratio at 11.17 to 1.00 and the Total Leverage Ratio at 1.99 to 1.00 for the 2018 Term Loan Agreement, the 2017 Term Loan Agreement and the 2016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w:t>
      </w:r>
    </w:p>
    <w:p>
      <w:pPr>
        <w:spacing w:after="0" w:line="12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did not repurchase shares in the second quarter of fiscal 2019. During the first quarter of fiscal 2019, we repurchased 24.5 thousand shares of the Company's common stock for $6.1 million, at an average purchase price of $248.70 per share. We did not repurchase shares during the first half of fiscal 2018. At April 30, 2019, $557.4 million remains authorized for repurchase under the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Information regarding estimates and critical accounting policies is included in Management's Discussion and Analysis on Form 10-K for the fiscal year ended October 31, 2018. There have been no material changes in our policies from those previously discussed in our Form 10-K for the fiscal year October 31, 2018, with the exception of our critical accounting policies related to the adoption of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effective November 1, 2018. See Note 2. Revenue Recognition of the Consolidated Financial Statements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new accounting pronouncements is included in Note 1. General of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Aquaform</w:t>
      </w:r>
      <w:r>
        <w:rPr>
          <w:rFonts w:ascii="Arial" w:cs="Arial" w:eastAsia="Arial" w:hAnsi="Arial"/>
          <w:sz w:val="25"/>
          <w:szCs w:val="25"/>
          <w:color w:val="auto"/>
          <w:vertAlign w:val="superscript"/>
        </w:rPr>
        <w:t>®</w:t>
      </w:r>
      <w:r>
        <w:rPr>
          <w:rFonts w:ascii="Arial" w:cs="Arial" w:eastAsia="Arial" w:hAnsi="Arial"/>
          <w:sz w:val="18"/>
          <w:szCs w:val="18"/>
          <w:color w:val="auto"/>
        </w:rPr>
        <w:t>, Avaira</w:t>
      </w:r>
      <w:r>
        <w:rPr>
          <w:rFonts w:ascii="Arial" w:cs="Arial" w:eastAsia="Arial" w:hAnsi="Arial"/>
          <w:sz w:val="25"/>
          <w:szCs w:val="25"/>
          <w:color w:val="auto"/>
          <w:vertAlign w:val="superscript"/>
        </w:rPr>
        <w:t>®</w:t>
      </w:r>
      <w:r>
        <w:rPr>
          <w:rFonts w:ascii="Arial" w:cs="Arial" w:eastAsia="Arial" w:hAnsi="Arial"/>
          <w:sz w:val="18"/>
          <w:szCs w:val="18"/>
          <w:color w:val="auto"/>
        </w:rPr>
        <w:t>, Avaira Vitality</w:t>
      </w:r>
      <w:r>
        <w:rPr>
          <w:rFonts w:ascii="Arial" w:cs="Arial" w:eastAsia="Arial" w:hAnsi="Arial"/>
          <w:sz w:val="25"/>
          <w:szCs w:val="25"/>
          <w:color w:val="auto"/>
          <w:vertAlign w:val="superscript"/>
        </w:rPr>
        <w:t>®</w:t>
      </w:r>
      <w:r>
        <w:rPr>
          <w:rFonts w:ascii="Arial" w:cs="Arial" w:eastAsia="Arial" w:hAnsi="Arial"/>
          <w:sz w:val="18"/>
          <w:szCs w:val="18"/>
          <w:color w:val="auto"/>
        </w:rPr>
        <w:t>, Biofinity</w:t>
      </w:r>
      <w:r>
        <w:rPr>
          <w:rFonts w:ascii="Arial" w:cs="Arial" w:eastAsia="Arial" w:hAnsi="Arial"/>
          <w:sz w:val="25"/>
          <w:szCs w:val="25"/>
          <w:color w:val="auto"/>
          <w:vertAlign w:val="superscript"/>
        </w:rPr>
        <w:t>®</w:t>
      </w:r>
      <w:r>
        <w:rPr>
          <w:rFonts w:ascii="Arial" w:cs="Arial" w:eastAsia="Arial" w:hAnsi="Arial"/>
          <w:sz w:val="18"/>
          <w:szCs w:val="18"/>
          <w:color w:val="auto"/>
        </w:rPr>
        <w:t>, MyDay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Proclear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registered trademarks of The Cooper Companies, Inc., its affiliates and/or subsidiaries. PC Technology™, FIPS™, and A Quality of Life Company™ are trademarks of The Cooper Companies, Inc., its affiliates and/or subsidiaries. The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 is a registered trademark of The Cooper Companies, Inc., its affiliates and/or subsidiaries worldwide except in the United States where the use of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licensed.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CooperSurgical, Inc.</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Most of our operations outside the United States have their local currency as their functional currency. We are exposed to risks caused by changes in foreign exchange, principally our British pound sterling, euro, Japanese yen, Danish krone, Swedish krona and Australian dollar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 rate. We may decrease this interest rate risk by hedging a portion of variable rate debt effectively converting it to fixed rate debt for varying periods. The Company did not have any derivative assets or liabilities that may include interest rate swaps, cross currency swaps or foreign currency forward contracts as of April 30, 2019 and October 31, 2018.</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November 1, 2018, the Company entered into a 364-day, $400.0 million, senior unsecured term loan agreement by and among the Company, the lenders party thereto and PNC Bank, National Association, as administrative agent which matures on October 31, 2019 (the 2018 Term Loan Agreement). The Company used the funds to partially repay outstanding borrowings under the 2016 Revolving Credit Facility. At April 30, 2019, we had $400.0 million outstanding under the 2018 Term Loan Agreement.</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1, 2017, in connection with the PARAGARD acquisition, we entered into a five-year, $1.425 billion, senior unsecured term loan agreement (the 2017 Term Loan Agreement) by and among the Company, the lenders party thereto and DNB Bank ASA, New York Branch, as administrative agent which matures on November 1, 2022. The Company used part of the facility to fund the PARAGARD acquisition and used the remainder of the funds to partially repay outstanding borrowings under our revolving credit agreement. At April 30, 2019, we had $1.425 billion outstanding under the 2017 Term Loan Agreement.</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1, 2016, we entered into a syndicated Revolving Credit and Term Loan Agreement (the 2016 Credit Agreement) with KeyBank as administrative agent. The agreement provides for a multicurrency revolving credit facility in an aggregate principal amount of $1.0 billion (the 2016 Revolving Credit Facility) and a term loan facility in the aggregate principal amount of $830.0 million (the 2016 Term Loan Facility). The 2016 Credit Agreement replaced our previous credit agreement and funds from the 2016 Term Loan Facility were used to repay the outstanding amounts under the previous credit agreement, to partially repay our other outstanding term loans and for general corporate purposes. At April 30, 2019, we had $50.0 million outstanding under the 2016 Term Loan Facility and $999.5 million available under the 2016 Revolving Credit Facility.</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interest rates were to increase or decrease by 1% or 100 basis points, quarterly interest expense would increase or decrease by approximately $5.0 million based on average debt outstanding for the second quarter of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6. Debt of the Consolidated Financial Statements for additional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91"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second quarter of fiscal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91"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to be set by the Court.</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Financial Accounting Standards Board (FASB)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Legal fees are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Risk factors describing the major risks to our business can be found under Item 1A. Risk Factors in our Annual Report on Form 10-K for the fiscal year ended October 31, 2018. There have been no material changes in our risk factors from those previously discussed in our Form 10-K for the fiscal year ended October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9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There was no share repurchase activity during the three-month period ended April 30, 2019.</w:t>
      </w:r>
    </w:p>
    <w:p>
      <w:pPr>
        <w:spacing w:after="0" w:line="2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Share Repurchase Program was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At April 30, 2019, approximately $557.4 million remained authorized under the 2012 Share Repurchase Program.</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9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500" w:type="dxa"/>
            <w:vAlign w:val="bottom"/>
            <w:gridSpan w:val="9"/>
          </w:tcPr>
          <w:p>
            <w:pPr>
              <w:ind w:left="480"/>
              <w:spacing w:after="0"/>
              <w:rPr>
                <w:sz w:val="20"/>
                <w:szCs w:val="20"/>
                <w:color w:val="auto"/>
              </w:rPr>
            </w:pPr>
            <w:r>
              <w:rPr>
                <w:rFonts w:ascii="Arial" w:cs="Arial" w:eastAsia="Arial" w:hAnsi="Arial"/>
                <w:sz w:val="18"/>
                <w:szCs w:val="18"/>
                <w:color w:val="auto"/>
              </w:rPr>
              <w:t>THE COOPER COMPANIES, INC. AND SUBSIDIARIES</w:t>
            </w:r>
          </w:p>
        </w:tc>
      </w:tr>
      <w:tr>
        <w:trPr>
          <w:trHeight w:val="797"/>
        </w:trPr>
        <w:tc>
          <w:tcPr>
            <w:tcW w:w="154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6"/>
        </w:trPr>
        <w:tc>
          <w:tcPr>
            <w:tcW w:w="11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Exhibit</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540" w:type="dxa"/>
            <w:vAlign w:val="bottom"/>
            <w:gridSpan w:val="4"/>
          </w:tcPr>
          <w:p>
            <w:pPr>
              <w:ind w:left="40"/>
              <w:spacing w:after="0" w:line="190" w:lineRule="exact"/>
              <w:rPr>
                <w:sz w:val="20"/>
                <w:szCs w:val="20"/>
                <w:color w:val="auto"/>
              </w:rPr>
            </w:pPr>
            <w:r>
              <w:rPr>
                <w:rFonts w:ascii="Arial" w:cs="Arial" w:eastAsia="Arial" w:hAnsi="Arial"/>
                <w:sz w:val="18"/>
                <w:szCs w:val="18"/>
                <w:color w:val="auto"/>
              </w:rPr>
              <w:t>Number</w:t>
            </w:r>
          </w:p>
        </w:tc>
        <w:tc>
          <w:tcPr>
            <w:tcW w:w="9040" w:type="dxa"/>
            <w:vAlign w:val="bottom"/>
            <w:gridSpan w:val="12"/>
          </w:tcPr>
          <w:p>
            <w:pPr>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8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Executive Employment Agreement by and between The Cooper Companies, Inc. and Albert G. White III, effective as of</w:t>
              </w:r>
            </w:hyperlink>
          </w:p>
        </w:tc>
        <w:tc>
          <w:tcPr>
            <w:tcW w:w="360" w:type="dxa"/>
            <w:vAlign w:val="bottom"/>
            <w:gridSpan w:val="2"/>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November 1, 2018</w:t>
              </w:r>
            </w:hyperlink>
          </w:p>
        </w:tc>
        <w:tc>
          <w:tcPr>
            <w:tcW w:w="7700" w:type="dxa"/>
            <w:vAlign w:val="bottom"/>
            <w:gridSpan w:val="10"/>
          </w:tcPr>
          <w:p>
            <w:pPr>
              <w:spacing w:after="0"/>
              <w:rPr>
                <w:sz w:val="17"/>
                <w:szCs w:val="17"/>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65">
              <w:r>
                <w:rPr>
                  <w:rFonts w:ascii="Arial" w:cs="Arial" w:eastAsia="Arial" w:hAnsi="Arial"/>
                  <w:sz w:val="18"/>
                  <w:szCs w:val="18"/>
                  <w:color w:val="0000FF"/>
                  <w:w w:val="90"/>
                </w:rPr>
                <w:t>Executive Employment Agreement by and between The Cooper Companies, Inc. and Brian G. Andrews, effective as of</w:t>
              </w:r>
            </w:hyperlink>
          </w:p>
        </w:tc>
        <w:tc>
          <w:tcPr>
            <w:tcW w:w="440" w:type="dxa"/>
            <w:vAlign w:val="bottom"/>
            <w:gridSpan w:val="4"/>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November 1, 2018</w:t>
              </w:r>
            </w:hyperlink>
          </w:p>
        </w:tc>
        <w:tc>
          <w:tcPr>
            <w:tcW w:w="7700" w:type="dxa"/>
            <w:vAlign w:val="bottom"/>
            <w:gridSpan w:val="10"/>
          </w:tcPr>
          <w:p>
            <w:pPr>
              <w:spacing w:after="0"/>
              <w:rPr>
                <w:sz w:val="17"/>
                <w:szCs w:val="17"/>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40" w:type="dxa"/>
            <w:vAlign w:val="bottom"/>
            <w:gridSpan w:val="12"/>
          </w:tcPr>
          <w:p>
            <w:pPr>
              <w:spacing w:after="0"/>
              <w:rPr>
                <w:rFonts w:ascii="Arial" w:cs="Arial" w:eastAsia="Arial" w:hAnsi="Arial"/>
                <w:sz w:val="18"/>
                <w:szCs w:val="18"/>
                <w:color w:val="0000FF"/>
                <w:w w:val="94"/>
              </w:rPr>
            </w:pPr>
            <w:hyperlink w:anchor="page86">
              <w:r>
                <w:rPr>
                  <w:rFonts w:ascii="Arial" w:cs="Arial" w:eastAsia="Arial" w:hAnsi="Arial"/>
                  <w:sz w:val="18"/>
                  <w:szCs w:val="18"/>
                  <w:color w:val="0000FF"/>
                  <w:w w:val="94"/>
                </w:rPr>
                <w:t>Executive Employment Agreement by and between The Cooper Companies, Inc. and Daniel G. McBride, effective as of</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November 1, 2018</w:t>
              </w:r>
            </w:hyperlink>
          </w:p>
        </w:tc>
        <w:tc>
          <w:tcPr>
            <w:tcW w:w="7320" w:type="dxa"/>
            <w:vAlign w:val="bottom"/>
            <w:tcBorders>
              <w:top w:val="single" w:sz="8" w:color="0000FF"/>
            </w:tcBorders>
            <w:gridSpan w:val="7"/>
          </w:tcPr>
          <w:p>
            <w:pPr>
              <w:spacing w:after="0"/>
              <w:rPr>
                <w:sz w:val="17"/>
                <w:szCs w:val="17"/>
                <w:color w:val="auto"/>
              </w:rPr>
            </w:pPr>
          </w:p>
        </w:tc>
        <w:tc>
          <w:tcPr>
            <w:tcW w:w="380" w:type="dxa"/>
            <w:vAlign w:val="bottom"/>
            <w:gridSpan w:val="3"/>
          </w:tcPr>
          <w:p>
            <w:pPr>
              <w:spacing w:after="0"/>
              <w:rPr>
                <w:sz w:val="17"/>
                <w:szCs w:val="17"/>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40" w:type="dxa"/>
            <w:vAlign w:val="bottom"/>
            <w:gridSpan w:val="12"/>
          </w:tcPr>
          <w:p>
            <w:pPr>
              <w:spacing w:after="0"/>
              <w:rPr>
                <w:rFonts w:ascii="Arial" w:cs="Arial" w:eastAsia="Arial" w:hAnsi="Arial"/>
                <w:sz w:val="18"/>
                <w:szCs w:val="18"/>
                <w:color w:val="0000FF"/>
                <w:w w:val="95"/>
              </w:rPr>
            </w:pPr>
            <w:hyperlink w:anchor="page107">
              <w:r>
                <w:rPr>
                  <w:rFonts w:ascii="Arial" w:cs="Arial" w:eastAsia="Arial" w:hAnsi="Arial"/>
                  <w:sz w:val="18"/>
                  <w:szCs w:val="18"/>
                  <w:color w:val="0000FF"/>
                  <w:w w:val="95"/>
                </w:rPr>
                <w:t>Executive Employment Agreement by and between The Cooper Companies, Inc. and Holly R. Sheffield, effective as of</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107">
              <w:r>
                <w:rPr>
                  <w:rFonts w:ascii="Arial" w:cs="Arial" w:eastAsia="Arial" w:hAnsi="Arial"/>
                  <w:sz w:val="18"/>
                  <w:szCs w:val="18"/>
                  <w:color w:val="0000FF"/>
                  <w:w w:val="89"/>
                </w:rPr>
                <w:t>November 1, 2018</w:t>
              </w:r>
            </w:hyperlink>
          </w:p>
        </w:tc>
        <w:tc>
          <w:tcPr>
            <w:tcW w:w="7260" w:type="dxa"/>
            <w:vAlign w:val="bottom"/>
            <w:tcBorders>
              <w:top w:val="single" w:sz="8" w:color="0000FF"/>
            </w:tcBorders>
            <w:gridSpan w:val="6"/>
          </w:tcPr>
          <w:p>
            <w:pPr>
              <w:spacing w:after="0"/>
              <w:rPr>
                <w:sz w:val="17"/>
                <w:szCs w:val="17"/>
                <w:color w:val="auto"/>
              </w:rPr>
            </w:pPr>
          </w:p>
        </w:tc>
        <w:tc>
          <w:tcPr>
            <w:tcW w:w="440" w:type="dxa"/>
            <w:vAlign w:val="bottom"/>
            <w:gridSpan w:val="4"/>
          </w:tcPr>
          <w:p>
            <w:pPr>
              <w:spacing w:after="0"/>
              <w:rPr>
                <w:sz w:val="17"/>
                <w:szCs w:val="17"/>
                <w:color w:val="auto"/>
              </w:rPr>
            </w:pPr>
          </w:p>
        </w:tc>
      </w:tr>
      <w:tr>
        <w:trPr>
          <w:trHeight w:val="372"/>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2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28">
              <w:r>
                <w:rPr>
                  <w:rFonts w:ascii="Arial" w:cs="Arial" w:eastAsia="Arial" w:hAnsi="Arial"/>
                  <w:sz w:val="18"/>
                  <w:szCs w:val="18"/>
                  <w:color w:val="0000FF"/>
                  <w:w w:val="90"/>
                </w:rPr>
                <w:t>Executive Employment Agreement by and between The Cooper Companies, Inc. and Robert D. Auerbach, M.D., effective as</w:t>
              </w:r>
            </w:hyperlink>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128">
              <w:r>
                <w:rPr>
                  <w:rFonts w:ascii="Arial" w:cs="Arial" w:eastAsia="Arial" w:hAnsi="Arial"/>
                  <w:sz w:val="18"/>
                  <w:szCs w:val="18"/>
                  <w:color w:val="0000FF"/>
                  <w:w w:val="90"/>
                </w:rPr>
                <w:t>of November 1, 2018</w:t>
              </w:r>
            </w:hyperlink>
          </w:p>
        </w:tc>
        <w:tc>
          <w:tcPr>
            <w:tcW w:w="7500" w:type="dxa"/>
            <w:vAlign w:val="bottom"/>
            <w:gridSpan w:val="9"/>
          </w:tcPr>
          <w:p>
            <w:pPr>
              <w:spacing w:after="0"/>
              <w:rPr>
                <w:sz w:val="17"/>
                <w:szCs w:val="17"/>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40" w:type="dxa"/>
            <w:vAlign w:val="bottom"/>
            <w:gridSpan w:val="12"/>
          </w:tcPr>
          <w:p>
            <w:pPr>
              <w:spacing w:after="0"/>
              <w:rPr>
                <w:rFonts w:ascii="Arial" w:cs="Arial" w:eastAsia="Arial" w:hAnsi="Arial"/>
                <w:sz w:val="18"/>
                <w:szCs w:val="18"/>
                <w:color w:val="0000FF"/>
                <w:w w:val="99"/>
              </w:rPr>
            </w:pPr>
            <w:hyperlink w:anchor="page149">
              <w:r>
                <w:rPr>
                  <w:rFonts w:ascii="Arial" w:cs="Arial" w:eastAsia="Arial" w:hAnsi="Arial"/>
                  <w:sz w:val="18"/>
                  <w:szCs w:val="18"/>
                  <w:color w:val="0000FF"/>
                  <w:w w:val="99"/>
                </w:rPr>
                <w:t>Certification of the Chief Executive Officer, pursuant to Rule 13a-14(a) under the Securities Exchange Act of 1934</w:t>
              </w:r>
            </w:hyperlink>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150">
              <w:r>
                <w:rPr>
                  <w:rFonts w:ascii="Arial" w:cs="Arial" w:eastAsia="Arial" w:hAnsi="Arial"/>
                  <w:sz w:val="18"/>
                  <w:szCs w:val="18"/>
                  <w:color w:val="0000FF"/>
                  <w:w w:val="91"/>
                </w:rPr>
                <w:t>Certification of the Chief Financial Officer, pursuant to Rule 13a-14(a) under the Securities Exchange Act of 1934</w:t>
              </w:r>
            </w:hyperlink>
          </w:p>
        </w:tc>
        <w:tc>
          <w:tcPr>
            <w:tcW w:w="40" w:type="dxa"/>
            <w:vAlign w:val="bottom"/>
            <w:tcBorders>
              <w:top w:val="single" w:sz="8" w:color="0000FF"/>
            </w:tcBorders>
          </w:tcPr>
          <w:p>
            <w:pPr>
              <w:spacing w:after="0"/>
              <w:rPr>
                <w:sz w:val="24"/>
                <w:szCs w:val="24"/>
                <w:color w:val="auto"/>
              </w:rPr>
            </w:pPr>
          </w:p>
        </w:tc>
        <w:tc>
          <w:tcPr>
            <w:tcW w:w="760" w:type="dxa"/>
            <w:vAlign w:val="bottom"/>
            <w:gridSpan w:val="5"/>
          </w:tcPr>
          <w:p>
            <w:pPr>
              <w:spacing w:after="0"/>
              <w:rPr>
                <w:sz w:val="24"/>
                <w:szCs w:val="24"/>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40" w:type="dxa"/>
            <w:vAlign w:val="bottom"/>
            <w:gridSpan w:val="12"/>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Certification of the Chief Executive Officer, pursuant to 18 U.S.C. Section 1350</w:t>
              </w:r>
            </w:hyperlink>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152">
              <w:r>
                <w:rPr>
                  <w:rFonts w:ascii="Arial" w:cs="Arial" w:eastAsia="Arial" w:hAnsi="Arial"/>
                  <w:sz w:val="18"/>
                  <w:szCs w:val="18"/>
                  <w:color w:val="0000FF"/>
                  <w:w w:val="91"/>
                </w:rPr>
                <w:t>Certification of the Chief Financial Officer, pursuant to 18 U.S.C. Section 1350</w:t>
              </w:r>
            </w:hyperlink>
          </w:p>
        </w:tc>
        <w:tc>
          <w:tcPr>
            <w:tcW w:w="40" w:type="dxa"/>
            <w:vAlign w:val="bottom"/>
            <w:tcBorders>
              <w:top w:val="single" w:sz="8" w:color="0000FF"/>
            </w:tcBorders>
          </w:tcPr>
          <w:p>
            <w:pPr>
              <w:spacing w:after="0"/>
              <w:rPr>
                <w:sz w:val="24"/>
                <w:szCs w:val="24"/>
                <w:color w:val="auto"/>
              </w:rPr>
            </w:pPr>
          </w:p>
        </w:tc>
        <w:tc>
          <w:tcPr>
            <w:tcW w:w="3280" w:type="dxa"/>
            <w:vAlign w:val="bottom"/>
            <w:gridSpan w:val="7"/>
          </w:tcPr>
          <w:p>
            <w:pPr>
              <w:spacing w:after="0"/>
              <w:rPr>
                <w:sz w:val="24"/>
                <w:szCs w:val="24"/>
                <w:color w:val="auto"/>
              </w:rPr>
            </w:pPr>
          </w:p>
        </w:tc>
      </w:tr>
      <w:tr>
        <w:trPr>
          <w:trHeight w:val="506"/>
        </w:trPr>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101.1</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40" w:type="dxa"/>
            <w:vAlign w:val="bottom"/>
            <w:gridSpan w:val="12"/>
          </w:tcPr>
          <w:p>
            <w:pPr>
              <w:spacing w:after="0"/>
              <w:rPr>
                <w:sz w:val="20"/>
                <w:szCs w:val="20"/>
                <w:color w:val="auto"/>
              </w:rPr>
            </w:pPr>
            <w:r>
              <w:rPr>
                <w:rFonts w:ascii="Arial" w:cs="Arial" w:eastAsia="Arial" w:hAnsi="Arial"/>
                <w:sz w:val="18"/>
                <w:szCs w:val="18"/>
                <w:color w:val="auto"/>
                <w:w w:val="91"/>
              </w:rPr>
              <w:t>The following materials from the Company's Quarterly Report on Form 10-Q for the three and six months period ended April</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40" w:type="dxa"/>
            <w:vAlign w:val="bottom"/>
            <w:gridSpan w:val="12"/>
          </w:tcPr>
          <w:p>
            <w:pPr>
              <w:spacing w:after="0"/>
              <w:rPr>
                <w:sz w:val="20"/>
                <w:szCs w:val="20"/>
                <w:color w:val="auto"/>
              </w:rPr>
            </w:pPr>
            <w:r>
              <w:rPr>
                <w:rFonts w:ascii="Arial" w:cs="Arial" w:eastAsia="Arial" w:hAnsi="Arial"/>
                <w:sz w:val="18"/>
                <w:szCs w:val="18"/>
                <w:color w:val="auto"/>
                <w:w w:val="92"/>
              </w:rPr>
              <w:t>30, 2019, formatted in Extensible Business Reporting Language (XBRL): (i) Consolidated Statements of Income (Loss) for</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40" w:type="dxa"/>
            <w:vAlign w:val="bottom"/>
            <w:gridSpan w:val="12"/>
          </w:tcPr>
          <w:p>
            <w:pPr>
              <w:spacing w:after="0"/>
              <w:rPr>
                <w:sz w:val="20"/>
                <w:szCs w:val="20"/>
                <w:color w:val="auto"/>
              </w:rPr>
            </w:pPr>
            <w:r>
              <w:rPr>
                <w:rFonts w:ascii="Arial" w:cs="Arial" w:eastAsia="Arial" w:hAnsi="Arial"/>
                <w:sz w:val="18"/>
                <w:szCs w:val="18"/>
                <w:color w:val="auto"/>
                <w:w w:val="91"/>
              </w:rPr>
              <w:t>the three and six months ended April 30, 2019 and 2018, (ii) Consolidated Statements of Comprehensive Income (Loss) for</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40" w:type="dxa"/>
            <w:vAlign w:val="bottom"/>
            <w:gridSpan w:val="12"/>
          </w:tcPr>
          <w:p>
            <w:pPr>
              <w:spacing w:after="0"/>
              <w:rPr>
                <w:sz w:val="20"/>
                <w:szCs w:val="20"/>
                <w:color w:val="auto"/>
              </w:rPr>
            </w:pPr>
            <w:r>
              <w:rPr>
                <w:rFonts w:ascii="Arial" w:cs="Arial" w:eastAsia="Arial" w:hAnsi="Arial"/>
                <w:sz w:val="18"/>
                <w:szCs w:val="18"/>
                <w:color w:val="auto"/>
                <w:w w:val="90"/>
              </w:rPr>
              <w:t>the three and six months ended April 30, 2019 and 2018, (iii) Consolidated Condensed Balance Sheets at April 30, 2019 and</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40" w:type="dxa"/>
            <w:vAlign w:val="bottom"/>
            <w:gridSpan w:val="12"/>
          </w:tcPr>
          <w:p>
            <w:pPr>
              <w:spacing w:after="0"/>
              <w:rPr>
                <w:sz w:val="20"/>
                <w:szCs w:val="20"/>
                <w:color w:val="auto"/>
              </w:rPr>
            </w:pPr>
            <w:r>
              <w:rPr>
                <w:rFonts w:ascii="Arial" w:cs="Arial" w:eastAsia="Arial" w:hAnsi="Arial"/>
                <w:sz w:val="18"/>
                <w:szCs w:val="18"/>
                <w:color w:val="auto"/>
                <w:w w:val="89"/>
              </w:rPr>
              <w:t>October 31, 2018, (iv) Consolidated Condensed Statements of Stockholders' Equity for the three and six months period ended</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40" w:type="dxa"/>
            <w:vAlign w:val="bottom"/>
            <w:gridSpan w:val="12"/>
          </w:tcPr>
          <w:p>
            <w:pPr>
              <w:spacing w:after="0"/>
              <w:rPr>
                <w:sz w:val="20"/>
                <w:szCs w:val="20"/>
                <w:color w:val="auto"/>
              </w:rPr>
            </w:pPr>
            <w:r>
              <w:rPr>
                <w:rFonts w:ascii="Arial" w:cs="Arial" w:eastAsia="Arial" w:hAnsi="Arial"/>
                <w:sz w:val="18"/>
                <w:szCs w:val="18"/>
                <w:color w:val="auto"/>
                <w:w w:val="90"/>
              </w:rPr>
              <w:t>April 30, 2019 and 2018 (v) Consolidated Condensed Statements of Cash Flows for the six months ended April 30, 2019 and</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gridSpan w:val="12"/>
          </w:tcPr>
          <w:p>
            <w:pPr>
              <w:spacing w:after="0"/>
              <w:rPr>
                <w:sz w:val="20"/>
                <w:szCs w:val="20"/>
                <w:color w:val="auto"/>
              </w:rPr>
            </w:pPr>
            <w:r>
              <w:rPr>
                <w:rFonts w:ascii="Arial" w:cs="Arial" w:eastAsia="Arial" w:hAnsi="Arial"/>
                <w:sz w:val="18"/>
                <w:szCs w:val="18"/>
                <w:color w:val="auto"/>
              </w:rPr>
              <w:t>2018 and (vi) related Notes to Consolidated Condensed Financial Statements.</w:t>
            </w:r>
          </w:p>
        </w:tc>
      </w:tr>
      <w:tr>
        <w:trPr>
          <w:trHeight w:val="86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20" w:type="dxa"/>
            <w:vAlign w:val="bottom"/>
            <w:gridSpan w:val="4"/>
          </w:tcPr>
          <w:p>
            <w:pPr>
              <w:ind w:left="408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580"/>
          </w:cols>
          <w:pgMar w:left="240" w:top="391" w:right="10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31750</wp:posOffset>
            </wp:positionV>
            <wp:extent cx="3387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240" w:val="left"/>
        </w:tabs>
        <w:rPr>
          <w:sz w:val="20"/>
          <w:szCs w:val="20"/>
          <w:color w:val="auto"/>
        </w:rPr>
      </w:pPr>
      <w:r>
        <w:rPr>
          <w:rFonts w:ascii="Arial" w:cs="Arial" w:eastAsia="Arial" w:hAnsi="Arial"/>
          <w:sz w:val="18"/>
          <w:szCs w:val="18"/>
          <w:color w:val="auto"/>
        </w:rPr>
        <w:t>Date: May 31, 2019</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31750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Senior Vice President, Chief Financial Officer &amp; Treasurer</w:t>
      </w:r>
    </w:p>
    <w:p>
      <w:pPr>
        <w:spacing w:after="0" w:line="3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7240" w:val="left"/>
        </w:tabs>
        <w:rPr>
          <w:sz w:val="20"/>
          <w:szCs w:val="20"/>
          <w:color w:val="auto"/>
        </w:rPr>
      </w:pPr>
      <w:r>
        <w:rPr>
          <w:rFonts w:ascii="Arial" w:cs="Arial" w:eastAsia="Arial" w:hAnsi="Arial"/>
          <w:sz w:val="18"/>
          <w:szCs w:val="18"/>
          <w:color w:val="auto"/>
        </w:rPr>
        <w:t>Date: May 31, 2019</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31750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Agostino Ricupati</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Accounting Officer &amp; Senior Vice President, Finance &amp; Tax</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80"/>
          </w:cols>
          <w:pgMar w:left="240" w:top="391"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48"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EXECUTIVE EMPLOYMENT AGREEMENT</w:t>
      </w:r>
    </w:p>
    <w:p>
      <w:pPr>
        <w:spacing w:after="0" w:line="3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THIS EXECUTIVE EMPLOYMENT AGREEMENT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is made by and between The Cooper Companies, Inc.</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and Albert G. White III (“</w:t>
      </w:r>
      <w:r>
        <w:rPr>
          <w:rFonts w:ascii="Arial" w:cs="Arial" w:eastAsia="Arial" w:hAnsi="Arial"/>
          <w:sz w:val="19"/>
          <w:szCs w:val="19"/>
          <w:b w:val="1"/>
          <w:bCs w:val="1"/>
          <w:color w:val="auto"/>
        </w:rPr>
        <w:t>Executive</w:t>
      </w:r>
      <w:r>
        <w:rPr>
          <w:rFonts w:ascii="Arial" w:cs="Arial" w:eastAsia="Arial" w:hAnsi="Arial"/>
          <w:sz w:val="19"/>
          <w:szCs w:val="19"/>
          <w:color w:val="auto"/>
        </w:rPr>
        <w:t>”) (collectively, the “</w:t>
      </w:r>
      <w:r>
        <w:rPr>
          <w:rFonts w:ascii="Arial" w:cs="Arial" w:eastAsia="Arial" w:hAnsi="Arial"/>
          <w:sz w:val="19"/>
          <w:szCs w:val="19"/>
          <w:b w:val="1"/>
          <w:bCs w:val="1"/>
          <w:color w:val="auto"/>
        </w:rPr>
        <w:t>Parties</w:t>
      </w:r>
      <w:r>
        <w:rPr>
          <w:rFonts w:ascii="Arial" w:cs="Arial" w:eastAsia="Arial" w:hAnsi="Arial"/>
          <w:sz w:val="19"/>
          <w:szCs w:val="19"/>
          <w:color w:val="auto"/>
        </w:rPr>
        <w:t>”, each a “</w:t>
      </w:r>
      <w:r>
        <w:rPr>
          <w:rFonts w:ascii="Arial" w:cs="Arial" w:eastAsia="Arial" w:hAnsi="Arial"/>
          <w:sz w:val="19"/>
          <w:szCs w:val="19"/>
          <w:b w:val="1"/>
          <w:bCs w:val="1"/>
          <w:color w:val="auto"/>
        </w:rPr>
        <w:t>Party</w:t>
      </w:r>
      <w:r>
        <w:rPr>
          <w:rFonts w:ascii="Arial" w:cs="Arial" w:eastAsia="Arial" w:hAnsi="Arial"/>
          <w:sz w:val="19"/>
          <w:szCs w:val="19"/>
          <w:color w:val="auto"/>
        </w:rPr>
        <w:t>”). As of the date (the “</w:t>
      </w:r>
      <w:r>
        <w:rPr>
          <w:rFonts w:ascii="Arial" w:cs="Arial" w:eastAsia="Arial" w:hAnsi="Arial"/>
          <w:sz w:val="19"/>
          <w:szCs w:val="19"/>
          <w:b w:val="1"/>
          <w:bCs w:val="1"/>
          <w:color w:val="auto"/>
        </w:rPr>
        <w:t>Execution Date</w:t>
      </w:r>
      <w:r>
        <w:rPr>
          <w:rFonts w:ascii="Arial" w:cs="Arial" w:eastAsia="Arial" w:hAnsi="Arial"/>
          <w:sz w:val="19"/>
          <w:szCs w:val="19"/>
          <w:color w:val="auto"/>
        </w:rPr>
        <w:t>”) this Agreement has been executed by both Parties, it will be deemed effective as of November 1, 2018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is currently employed by Company as its President and Chief Executive Officer;</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Company wishes to continue to employ Executive and Executive wishes to be employed by Company on the terms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herein; and</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intend for this Agreement to set forth all of the terms and conditions of Executive’s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to supersede and replace all prior agreements, arrangements, representations or understandings between the Parties regarding Executive’s employment with Company, except for those prior agreements specifically identified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and covenants contained herein, the Parties agree as follows:</w:t>
      </w:r>
    </w:p>
    <w:p>
      <w:pPr>
        <w:spacing w:after="0" w:line="241" w:lineRule="exact"/>
        <w:rPr>
          <w:sz w:val="20"/>
          <w:szCs w:val="20"/>
          <w:color w:val="auto"/>
        </w:rPr>
      </w:pPr>
    </w:p>
    <w:p>
      <w:pPr>
        <w:ind w:firstLine="8"/>
        <w:spacing w:after="0" w:line="295" w:lineRule="auto"/>
        <w:tabs>
          <w:tab w:leader="none" w:pos="797"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POSITION. </w:t>
      </w:r>
      <w:r>
        <w:rPr>
          <w:rFonts w:ascii="Arial" w:cs="Arial" w:eastAsia="Arial" w:hAnsi="Arial"/>
          <w:sz w:val="20"/>
          <w:szCs w:val="20"/>
          <w:color w:val="auto"/>
        </w:rPr>
        <w:t>Company will continue to employ Executive and Executive shall continue to serve Company in the capacity of</w:t>
      </w:r>
      <w:r>
        <w:rPr>
          <w:rFonts w:ascii="Arial" w:cs="Arial" w:eastAsia="Arial" w:hAnsi="Arial"/>
          <w:sz w:val="20"/>
          <w:szCs w:val="20"/>
          <w:b w:val="1"/>
          <w:bCs w:val="1"/>
          <w:color w:val="auto"/>
        </w:rPr>
        <w:t xml:space="preserve"> </w:t>
      </w:r>
      <w:r>
        <w:rPr>
          <w:rFonts w:ascii="Arial" w:cs="Arial" w:eastAsia="Arial" w:hAnsi="Arial"/>
          <w:sz w:val="20"/>
          <w:szCs w:val="20"/>
          <w:color w:val="auto"/>
        </w:rPr>
        <w:t>President and Chief Executive Officer (“</w:t>
      </w:r>
      <w:r>
        <w:rPr>
          <w:rFonts w:ascii="Arial" w:cs="Arial" w:eastAsia="Arial" w:hAnsi="Arial"/>
          <w:sz w:val="20"/>
          <w:szCs w:val="20"/>
          <w:b w:val="1"/>
          <w:bCs w:val="1"/>
          <w:color w:val="auto"/>
        </w:rPr>
        <w:t>CEO</w:t>
      </w:r>
      <w:r>
        <w:rPr>
          <w:rFonts w:ascii="Arial" w:cs="Arial" w:eastAsia="Arial" w:hAnsi="Arial"/>
          <w:sz w:val="20"/>
          <w:szCs w:val="20"/>
          <w:color w:val="auto"/>
        </w:rPr>
        <w:t>”) of Company.</w:t>
      </w:r>
    </w:p>
    <w:p>
      <w:pPr>
        <w:spacing w:after="0" w:line="150" w:lineRule="exact"/>
        <w:rPr>
          <w:rFonts w:ascii="Arial" w:cs="Arial" w:eastAsia="Arial" w:hAnsi="Arial"/>
          <w:sz w:val="20"/>
          <w:szCs w:val="20"/>
          <w:b w:val="1"/>
          <w:bCs w:val="1"/>
          <w:color w:val="auto"/>
        </w:rPr>
      </w:pPr>
    </w:p>
    <w:p>
      <w:pPr>
        <w:jc w:val="both"/>
        <w:ind w:firstLine="8"/>
        <w:spacing w:after="0" w:line="255" w:lineRule="auto"/>
        <w:tabs>
          <w:tab w:leader="none" w:pos="369"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w:t>
      </w:r>
      <w:r>
        <w:rPr>
          <w:rFonts w:ascii="Arial" w:cs="Arial" w:eastAsia="Arial" w:hAnsi="Arial"/>
          <w:sz w:val="19"/>
          <w:szCs w:val="19"/>
          <w:color w:val="auto"/>
        </w:rPr>
        <w:t>As President and CEO, Executive shall render exclusive, full-time services to Company and its subsidiaries, and exercise such</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and perform such duties as provided in Company’s by-laws and articles of incorporation. Executive shall report to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xml:space="preserve">”). Executive shall perform services under this Agreement primarily at Company’s office in Pleasanton, California, and undertake business travel as necessary in performing the duties of his position. Subject to the terms of this Agreement, Executive’s responsibilities, working conditions and duties may be modified at the sole discretion of the Board. While employed by Company, Executive shall not compete with, or prepare to compete with Company, and Executive shall devote Executive’s best efforts and full business time, skill and attention to performance of Executive’s duties on behalf of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that Executive may engage in civic and not-for-profit activities (</w:t>
      </w:r>
      <w:r>
        <w:rPr>
          <w:rFonts w:ascii="Arial" w:cs="Arial" w:eastAsia="Arial" w:hAnsi="Arial"/>
          <w:sz w:val="19"/>
          <w:szCs w:val="19"/>
          <w:i w:val="1"/>
          <w:iCs w:val="1"/>
          <w:color w:val="auto"/>
        </w:rPr>
        <w:t>e.g.</w:t>
      </w:r>
      <w:r>
        <w:rPr>
          <w:rFonts w:ascii="Arial" w:cs="Arial" w:eastAsia="Arial" w:hAnsi="Arial"/>
          <w:sz w:val="19"/>
          <w:szCs w:val="19"/>
          <w:color w:val="auto"/>
        </w:rPr>
        <w:t xml:space="preserve"> charitable and industry association activities) as long as such activities do not materially interfere with Executive’s obligations hereunder or conflict with the interests of Company. During Executive’s employment with Company, Executive agrees not to engage in any business or for-profit activities outside Company, including serving on any advisory boards or boards of directors of for-profit entities, except with the prior written approval of the Board, which approval may be rescinded at any time in the Board’s sole discretion; provided however, that in the event of such rescission Executive shall be permitted reasonable time for orderly withdrawal from any board with respect to which such consent has been rescinded. By signing this Agreement, Executive represents that, to the best of Executive’s knowledge, Executive is not subject to any other contract or duty that would interfere in any way with Executive’s employment with Company or performance of employment duties hereunder.</w:t>
      </w:r>
    </w:p>
    <w:p>
      <w:pPr>
        <w:spacing w:after="0" w:line="177" w:lineRule="exact"/>
        <w:rPr>
          <w:rFonts w:ascii="Arial" w:cs="Arial" w:eastAsia="Arial" w:hAnsi="Arial"/>
          <w:sz w:val="19"/>
          <w:szCs w:val="19"/>
          <w:b w:val="1"/>
          <w:bCs w:val="1"/>
          <w:color w:val="auto"/>
        </w:rPr>
      </w:pPr>
    </w:p>
    <w:p>
      <w:pPr>
        <w:jc w:val="both"/>
        <w:ind w:firstLine="8"/>
        <w:spacing w:after="0" w:line="253" w:lineRule="auto"/>
        <w:tabs>
          <w:tab w:leader="none" w:pos="436"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POLICIES AND PROCEDURES. </w:t>
      </w:r>
      <w:r>
        <w:rPr>
          <w:rFonts w:ascii="Arial" w:cs="Arial" w:eastAsia="Arial" w:hAnsi="Arial"/>
          <w:sz w:val="20"/>
          <w:szCs w:val="20"/>
          <w:color w:val="auto"/>
        </w:rPr>
        <w:t>Executive shall be subject to and will comply with the policies and procedures of Company, as</w:t>
      </w:r>
      <w:r>
        <w:rPr>
          <w:rFonts w:ascii="Arial" w:cs="Arial" w:eastAsia="Arial" w:hAnsi="Arial"/>
          <w:sz w:val="20"/>
          <w:szCs w:val="20"/>
          <w:b w:val="1"/>
          <w:bCs w:val="1"/>
          <w:color w:val="auto"/>
        </w:rPr>
        <w:t xml:space="preserve"> </w:t>
      </w:r>
      <w:r>
        <w:rPr>
          <w:rFonts w:ascii="Arial" w:cs="Arial" w:eastAsia="Arial" w:hAnsi="Arial"/>
          <w:sz w:val="20"/>
          <w:szCs w:val="20"/>
          <w:color w:val="auto"/>
        </w:rPr>
        <w:t>modified from time to time at Company’s sole discretion, except to the extent any such policy or procedure specifically conflicts with the express terms of this Agreement (in which case, this Agreement shall control).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121" w:right="239" w:bottom="1440" w:gutter="0" w:footer="0" w:header="0"/>
        </w:sectPr>
      </w:pPr>
    </w:p>
    <w:bookmarkStart w:id="44" w:name="page45"/>
    <w:bookmarkEnd w:id="44"/>
    <w:p>
      <w:pPr>
        <w:jc w:val="both"/>
        <w:ind w:firstLine="8"/>
        <w:spacing w:after="0" w:line="277" w:lineRule="auto"/>
        <w:tabs>
          <w:tab w:leader="none" w:pos="34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For services rendered hereunder, Executive shall receive an initial base salary at the rate of $925,000 per year,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payroll withholdings and deductions, which shall be deemed to have been effective as of November 1, 2018, and an initial true-up payment will be made within fifteen (15) days of the Execution Date. Otherwise, such base salary amount will be paid periodically in accordance with ordinary Company payroll practices. Executive’s base salary shall be subject to annual reviews and periodic adjustment by the Compensation Committee of the Board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which has full discretion to adjust Executive’s base salary. (For purposes of this Agreement, Executive’s base salary as so adjusted from time to time, shall be referred to as the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60" w:lineRule="exact"/>
        <w:rPr>
          <w:rFonts w:ascii="Arial" w:cs="Arial" w:eastAsia="Arial" w:hAnsi="Arial"/>
          <w:sz w:val="18"/>
          <w:szCs w:val="18"/>
          <w:b w:val="1"/>
          <w:bCs w:val="1"/>
          <w:color w:val="auto"/>
        </w:rPr>
      </w:pPr>
    </w:p>
    <w:p>
      <w:pPr>
        <w:jc w:val="both"/>
        <w:ind w:firstLine="8"/>
        <w:spacing w:after="0" w:line="270" w:lineRule="auto"/>
        <w:tabs>
          <w:tab w:leader="none" w:pos="38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BONUS. </w:t>
      </w:r>
      <w:r>
        <w:rPr>
          <w:rFonts w:ascii="Arial" w:cs="Arial" w:eastAsia="Arial" w:hAnsi="Arial"/>
          <w:sz w:val="18"/>
          <w:szCs w:val="18"/>
          <w:color w:val="auto"/>
        </w:rPr>
        <w:t>Executive will be eligible to receive an annual performance bonus (“</w:t>
      </w:r>
      <w:r>
        <w:rPr>
          <w:rFonts w:ascii="Arial" w:cs="Arial" w:eastAsia="Arial" w:hAnsi="Arial"/>
          <w:sz w:val="18"/>
          <w:szCs w:val="18"/>
          <w:b w:val="1"/>
          <w:bCs w:val="1"/>
          <w:color w:val="auto"/>
        </w:rPr>
        <w:t>Performance Bonus</w:t>
      </w:r>
      <w:r>
        <w:rPr>
          <w:rFonts w:ascii="Arial" w:cs="Arial" w:eastAsia="Arial" w:hAnsi="Arial"/>
          <w:sz w:val="18"/>
          <w:szCs w:val="18"/>
          <w:color w:val="auto"/>
        </w:rPr>
        <w:t>”), with a target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level (the </w:t>
      </w:r>
      <w:r>
        <w:rPr>
          <w:rFonts w:ascii="Arial" w:cs="Arial" w:eastAsia="Arial" w:hAnsi="Arial"/>
          <w:sz w:val="18"/>
          <w:szCs w:val="18"/>
          <w:b w:val="1"/>
          <w:bCs w:val="1"/>
          <w:color w:val="auto"/>
        </w:rPr>
        <w:t>“Bonus Target”</w:t>
      </w:r>
      <w:r>
        <w:rPr>
          <w:rFonts w:ascii="Arial" w:cs="Arial" w:eastAsia="Arial" w:hAnsi="Arial"/>
          <w:sz w:val="18"/>
          <w:szCs w:val="18"/>
          <w:color w:val="auto"/>
        </w:rPr>
        <w:t>) determined pursuant to Company’s Incentive Performance Plan (the “</w:t>
      </w:r>
      <w:r>
        <w:rPr>
          <w:rFonts w:ascii="Arial" w:cs="Arial" w:eastAsia="Arial" w:hAnsi="Arial"/>
          <w:sz w:val="18"/>
          <w:szCs w:val="18"/>
          <w:b w:val="1"/>
          <w:bCs w:val="1"/>
          <w:color w:val="auto"/>
        </w:rPr>
        <w:t>IPP</w:t>
      </w:r>
      <w:r>
        <w:rPr>
          <w:rFonts w:ascii="Arial" w:cs="Arial" w:eastAsia="Arial" w:hAnsi="Arial"/>
          <w:sz w:val="18"/>
          <w:szCs w:val="18"/>
          <w:color w:val="auto"/>
        </w:rPr>
        <w:t>”). The Board or its Compensation Committee will use best efforts to determine the Bonus Target for each year no later than March 31 of such year. The annual amount of such Performance Bonus shall be determined in the sole discretion of the Board or by its Compensation Committee (under authority delegated by the Board), based upon a review of both Executive's individual performance and Company’s performance, pursuant to Company’s IPP. The Board or the Compensation Committee, in their sole discretion, shall determine: the extent to which both Company and Executive have achieved any corporate or individual performance goals or targets, or other terms and conditions applicable to the Performance Bonus; the amount of the Performance Bonus (if any); and whether and to what extent a Performance Bonus may be paid with respect to any year during which Executive's employment terminates, subject to the terms and conditions of this Agreement. Performance Bonuses are not earned until they are approved in writing by the Board or Compensation Committee and paid to senior executive officers of Company. Any Performance Bonuses earned shall be paid subject to applicable employment taxes, withholding and deductions. Except as otherwise expressly provided in this Agreement, Executive must remain continuously employed with Company through the date that Performance Bonuses are generally paid to senior executive officers of Company in order to be eligible to receive such Performance Bonus.</w:t>
      </w:r>
    </w:p>
    <w:p>
      <w:pPr>
        <w:spacing w:after="0" w:line="173" w:lineRule="exact"/>
        <w:rPr>
          <w:rFonts w:ascii="Arial" w:cs="Arial" w:eastAsia="Arial" w:hAnsi="Arial"/>
          <w:sz w:val="18"/>
          <w:szCs w:val="18"/>
          <w:b w:val="1"/>
          <w:bCs w:val="1"/>
          <w:color w:val="auto"/>
        </w:rPr>
      </w:pPr>
    </w:p>
    <w:p>
      <w:pPr>
        <w:ind w:left="340" w:hanging="332"/>
        <w:spacing w:after="0"/>
        <w:tabs>
          <w:tab w:leader="none" w:pos="340"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BENEFITS. </w:t>
      </w:r>
      <w:r>
        <w:rPr>
          <w:rFonts w:ascii="Arial" w:cs="Arial" w:eastAsia="Arial" w:hAnsi="Arial"/>
          <w:sz w:val="19"/>
          <w:szCs w:val="19"/>
          <w:color w:val="auto"/>
        </w:rPr>
        <w:t>While employed by Company pursuant to this Agreement, Executive shall be entitled to the following benefits:</w:t>
      </w:r>
    </w:p>
    <w:p>
      <w:pPr>
        <w:spacing w:after="0" w:line="227" w:lineRule="exact"/>
        <w:rPr>
          <w:rFonts w:ascii="Arial" w:cs="Arial" w:eastAsia="Arial" w:hAnsi="Arial"/>
          <w:sz w:val="19"/>
          <w:szCs w:val="19"/>
          <w:b w:val="1"/>
          <w:bCs w:val="1"/>
          <w:color w:val="auto"/>
        </w:rPr>
      </w:pPr>
    </w:p>
    <w:p>
      <w:pPr>
        <w:jc w:val="both"/>
        <w:ind w:firstLine="656"/>
        <w:spacing w:after="0" w:line="280" w:lineRule="auto"/>
        <w:tabs>
          <w:tab w:leader="none" w:pos="1099"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Benefits</w:t>
      </w:r>
      <w:r>
        <w:rPr>
          <w:rFonts w:ascii="Arial" w:cs="Arial" w:eastAsia="Arial" w:hAnsi="Arial"/>
          <w:sz w:val="18"/>
          <w:szCs w:val="18"/>
          <w:color w:val="auto"/>
        </w:rPr>
        <w:t>. Executive shall be entitled to all benefits to which other executive officers of Company are entitled,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and conditions in effect from time to time, including, without limitation, participation in pension and profit sharing plans, Company’s 401(k) plan, group insurance policies and plans (including medical, health, vision, and disability insurance policies and plans, and the like), and executive perquisites, which may be maintained by Company for the benefit of its executives. Company reserves the right to alter, discontinue and/or amend its benefit plans and programs, as well as any executive perquisites, from time to time in its sole discretion.</w:t>
      </w:r>
    </w:p>
    <w:p>
      <w:pPr>
        <w:spacing w:after="0" w:line="156" w:lineRule="exact"/>
        <w:rPr>
          <w:rFonts w:ascii="Arial" w:cs="Arial" w:eastAsia="Arial" w:hAnsi="Arial"/>
          <w:sz w:val="18"/>
          <w:szCs w:val="18"/>
          <w:b w:val="1"/>
          <w:bCs w:val="1"/>
          <w:color w:val="auto"/>
        </w:rPr>
      </w:pPr>
    </w:p>
    <w:p>
      <w:pPr>
        <w:jc w:val="both"/>
        <w:ind w:firstLine="656"/>
        <w:spacing w:after="0" w:line="248" w:lineRule="auto"/>
        <w:tabs>
          <w:tab w:leader="none" w:pos="1111" w:val="left"/>
        </w:tabs>
        <w:numPr>
          <w:ilvl w:val="1"/>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Expense Reimbursement. </w:t>
      </w:r>
      <w:r>
        <w:rPr>
          <w:rFonts w:ascii="Arial" w:cs="Arial" w:eastAsia="Arial" w:hAnsi="Arial"/>
          <w:sz w:val="20"/>
          <w:szCs w:val="20"/>
          <w:color w:val="auto"/>
        </w:rPr>
        <w:t>Executive shall receive reimbursement for reasonable out-of-pocket expenses incurred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performance of Executive’s duties hereunder, including, but not limited to, any business travel on behalf of Company or its subsidiaries, in accordance with Company’s expense reimbursement policies and procedures in effect from time to time, including a requirement for specific itemization and documentation of such expenses.</w:t>
      </w:r>
    </w:p>
    <w:p>
      <w:pPr>
        <w:spacing w:after="0" w:line="183" w:lineRule="exact"/>
        <w:rPr>
          <w:rFonts w:ascii="Arial" w:cs="Arial" w:eastAsia="Arial" w:hAnsi="Arial"/>
          <w:sz w:val="20"/>
          <w:szCs w:val="20"/>
          <w:b w:val="1"/>
          <w:bCs w:val="1"/>
          <w:color w:val="auto"/>
        </w:rPr>
      </w:pPr>
    </w:p>
    <w:p>
      <w:pPr>
        <w:ind w:left="340" w:hanging="332"/>
        <w:spacing w:after="0"/>
        <w:tabs>
          <w:tab w:leader="none" w:pos="34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 RIGHTS AND DUTIES.</w:t>
      </w:r>
    </w:p>
    <w:p>
      <w:pPr>
        <w:spacing w:after="0" w:line="215" w:lineRule="exact"/>
        <w:rPr>
          <w:rFonts w:ascii="Arial" w:cs="Arial" w:eastAsia="Arial" w:hAnsi="Arial"/>
          <w:sz w:val="20"/>
          <w:szCs w:val="20"/>
          <w:b w:val="1"/>
          <w:bCs w:val="1"/>
          <w:color w:val="auto"/>
        </w:rPr>
      </w:pPr>
    </w:p>
    <w:p>
      <w:pPr>
        <w:ind w:firstLine="656"/>
        <w:spacing w:after="0" w:line="267" w:lineRule="auto"/>
        <w:tabs>
          <w:tab w:leader="none" w:pos="1167" w:val="left"/>
        </w:tabs>
        <w:numPr>
          <w:ilvl w:val="1"/>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Executive agrees to execute and abide by the Employee Confidential Information and Invention</w:t>
      </w:r>
      <w:r>
        <w:rPr>
          <w:rFonts w:ascii="Arial" w:cs="Arial" w:eastAsia="Arial" w:hAnsi="Arial"/>
          <w:sz w:val="20"/>
          <w:szCs w:val="20"/>
          <w:b w:val="1"/>
          <w:bCs w:val="1"/>
          <w:color w:val="auto"/>
        </w:rPr>
        <w:t xml:space="preserve"> </w:t>
      </w:r>
      <w:r>
        <w:rPr>
          <w:rFonts w:ascii="Arial" w:cs="Arial" w:eastAsia="Arial" w:hAnsi="Arial"/>
          <w:sz w:val="20"/>
          <w:szCs w:val="20"/>
          <w:color w:val="auto"/>
        </w:rPr>
        <w:t>Assignment Agreement (the “</w:t>
      </w:r>
      <w:r>
        <w:rPr>
          <w:rFonts w:ascii="Arial" w:cs="Arial" w:eastAsia="Arial" w:hAnsi="Arial"/>
          <w:sz w:val="20"/>
          <w:szCs w:val="20"/>
          <w:b w:val="1"/>
          <w:bCs w:val="1"/>
          <w:color w:val="auto"/>
        </w:rPr>
        <w:t>Confidential Information Agreement</w:t>
      </w:r>
      <w:r>
        <w:rPr>
          <w:rFonts w:ascii="Arial" w:cs="Arial" w:eastAsia="Arial" w:hAnsi="Arial"/>
          <w:sz w:val="20"/>
          <w:szCs w:val="20"/>
          <w:color w:val="auto"/>
        </w:rPr>
        <w:t xml:space="preserve">”),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60" w:right="239" w:bottom="1440" w:gutter="0" w:footer="0" w:header="0"/>
        </w:sectPr>
      </w:pPr>
    </w:p>
    <w:bookmarkStart w:id="45" w:name="page46"/>
    <w:bookmarkEnd w:id="45"/>
    <w:p>
      <w:pPr>
        <w:jc w:val="both"/>
        <w:ind w:firstLine="656"/>
        <w:spacing w:after="0" w:line="253" w:lineRule="auto"/>
        <w:tabs>
          <w:tab w:leader="none" w:pos="1219" w:val="left"/>
        </w:tabs>
        <w:numPr>
          <w:ilvl w:val="1"/>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Exclusive Property</w:t>
      </w:r>
      <w:r>
        <w:rPr>
          <w:rFonts w:ascii="Arial" w:cs="Arial" w:eastAsia="Arial" w:hAnsi="Arial"/>
          <w:sz w:val="20"/>
          <w:szCs w:val="20"/>
          <w:color w:val="auto"/>
        </w:rPr>
        <w:t>. Executive agrees that all Company-related business procured by Executive, and all Company-related</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opportunities and plans made known to Executive while employed by Company, are and shall remain the permanent and exclusive property of Company.</w:t>
      </w:r>
    </w:p>
    <w:p>
      <w:pPr>
        <w:spacing w:after="0" w:line="177" w:lineRule="exact"/>
        <w:rPr>
          <w:rFonts w:ascii="Arial" w:cs="Arial" w:eastAsia="Arial" w:hAnsi="Arial"/>
          <w:sz w:val="20"/>
          <w:szCs w:val="20"/>
          <w:b w:val="1"/>
          <w:bCs w:val="1"/>
          <w:color w:val="auto"/>
        </w:rPr>
      </w:pPr>
    </w:p>
    <w:p>
      <w:pPr>
        <w:ind w:left="340" w:hanging="332"/>
        <w:spacing w:after="0"/>
        <w:tabs>
          <w:tab w:leader="none" w:pos="34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w:t>
      </w:r>
    </w:p>
    <w:p>
      <w:pPr>
        <w:spacing w:after="0" w:line="215" w:lineRule="exact"/>
        <w:rPr>
          <w:rFonts w:ascii="Arial" w:cs="Arial" w:eastAsia="Arial" w:hAnsi="Arial"/>
          <w:sz w:val="20"/>
          <w:szCs w:val="20"/>
          <w:b w:val="1"/>
          <w:bCs w:val="1"/>
          <w:color w:val="auto"/>
        </w:rPr>
      </w:pPr>
    </w:p>
    <w:p>
      <w:pPr>
        <w:jc w:val="both"/>
        <w:ind w:firstLine="656"/>
        <w:spacing w:after="0" w:line="246" w:lineRule="auto"/>
        <w:tabs>
          <w:tab w:leader="none" w:pos="1059" w:val="left"/>
        </w:tabs>
        <w:numPr>
          <w:ilvl w:val="1"/>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At-Will Status. </w:t>
      </w:r>
      <w:r>
        <w:rPr>
          <w:rFonts w:ascii="Arial" w:cs="Arial" w:eastAsia="Arial" w:hAnsi="Arial"/>
          <w:sz w:val="20"/>
          <w:szCs w:val="20"/>
          <w:color w:val="auto"/>
        </w:rPr>
        <w:t>Company and Executive understand and agree that this employment relationship is at-will. Accordingly, there are</w:t>
      </w:r>
      <w:r>
        <w:rPr>
          <w:rFonts w:ascii="Arial" w:cs="Arial" w:eastAsia="Arial" w:hAnsi="Arial"/>
          <w:sz w:val="20"/>
          <w:szCs w:val="20"/>
          <w:b w:val="1"/>
          <w:bCs w:val="1"/>
          <w:color w:val="auto"/>
        </w:rPr>
        <w:t xml:space="preserve"> </w:t>
      </w:r>
      <w:r>
        <w:rPr>
          <w:rFonts w:ascii="Arial" w:cs="Arial" w:eastAsia="Arial" w:hAnsi="Arial"/>
          <w:sz w:val="20"/>
          <w:szCs w:val="20"/>
          <w:color w:val="auto"/>
        </w:rPr>
        <w:t>no promises or representations concerning the duration of Executive’s employment relationship, which may be terminated by either Executive or Company at any time, with or without Cause or Good Reason (as defined herein), and with or without advance notice. Executive’s at-will status cannot be altered except in an express written agreement signed by Executive and Company with specific written approval of Company’s Board.</w:t>
      </w:r>
    </w:p>
    <w:p>
      <w:pPr>
        <w:spacing w:after="0" w:line="185" w:lineRule="exact"/>
        <w:rPr>
          <w:rFonts w:ascii="Arial" w:cs="Arial" w:eastAsia="Arial" w:hAnsi="Arial"/>
          <w:sz w:val="20"/>
          <w:szCs w:val="20"/>
          <w:b w:val="1"/>
          <w:bCs w:val="1"/>
          <w:color w:val="auto"/>
        </w:rPr>
      </w:pPr>
    </w:p>
    <w:p>
      <w:pPr>
        <w:jc w:val="both"/>
        <w:ind w:firstLine="656"/>
        <w:spacing w:after="0" w:line="280" w:lineRule="auto"/>
        <w:tabs>
          <w:tab w:leader="none" w:pos="1111"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Resignation by Executive. </w:t>
      </w:r>
      <w:r>
        <w:rPr>
          <w:rFonts w:ascii="Arial" w:cs="Arial" w:eastAsia="Arial" w:hAnsi="Arial"/>
          <w:sz w:val="18"/>
          <w:szCs w:val="18"/>
          <w:color w:val="auto"/>
        </w:rPr>
        <w:t>Executive may resign from Company with or without Good Reason. Executive agrees to provide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three (3) weeks advance written notice of a resignation without Good Reason, to allow for an orderly transition. Company may accelerate the date Executive’s resignation is to become effective, in its sole discretion. In the event Company accelerates the resignation effective date, Executive will be paid Base Salary severance through the originally tendered resignation date, provided that in no such event will Executive be entitled under this paragraph 9(b) to receive more than three (3) months of Base Salary severance beyond the accelerated resignation date.</w:t>
      </w:r>
    </w:p>
    <w:p>
      <w:pPr>
        <w:spacing w:after="0" w:line="156" w:lineRule="exact"/>
        <w:rPr>
          <w:rFonts w:ascii="Arial" w:cs="Arial" w:eastAsia="Arial" w:hAnsi="Arial"/>
          <w:sz w:val="18"/>
          <w:szCs w:val="18"/>
          <w:b w:val="1"/>
          <w:bCs w:val="1"/>
          <w:color w:val="auto"/>
        </w:rPr>
      </w:pPr>
    </w:p>
    <w:p>
      <w:pPr>
        <w:jc w:val="both"/>
        <w:ind w:firstLine="656"/>
        <w:spacing w:after="0" w:line="258" w:lineRule="auto"/>
        <w:tabs>
          <w:tab w:leader="none" w:pos="1088" w:val="left"/>
        </w:tabs>
        <w:numPr>
          <w:ilvl w:val="1"/>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Cause.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for Company to terminate Executive shall mean: (i)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conviction or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felony; (ii) Executive’s willful misconduct in performing Executive’s duties, where such misconduct has had or is reasonably likely to have a material adverse effect upon Company; or (iii) any material breach of this Agreement, the Confidential Information Agreement, any other fully executed agreement with Company, or Company’s policies. Notwithstanding the foregoing, if any act or omission giving rise to Cause is reasonably capable of cure, “</w:t>
      </w:r>
      <w:r>
        <w:rPr>
          <w:rFonts w:ascii="Arial" w:cs="Arial" w:eastAsia="Arial" w:hAnsi="Arial"/>
          <w:sz w:val="19"/>
          <w:szCs w:val="19"/>
          <w:b w:val="1"/>
          <w:bCs w:val="1"/>
          <w:color w:val="auto"/>
        </w:rPr>
        <w:t>Cause</w:t>
      </w:r>
      <w:r>
        <w:rPr>
          <w:rFonts w:ascii="Arial" w:cs="Arial" w:eastAsia="Arial" w:hAnsi="Arial"/>
          <w:sz w:val="19"/>
          <w:szCs w:val="19"/>
          <w:color w:val="auto"/>
        </w:rPr>
        <w:t xml:space="preserve">” for Company to terminate Executive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exist unless: (x) Company provides Executive with specific written notice of the existence of the condition giving rise to Cause within thirty (30) days after the condition giving rise to Cause was first reasonably discoverable by Company; and (y) Executive fails to cure such condition within thirty (30) days after Executive’s receipt of such written notice.</w:t>
      </w:r>
    </w:p>
    <w:p>
      <w:pPr>
        <w:spacing w:after="0" w:line="173" w:lineRule="exact"/>
        <w:rPr>
          <w:rFonts w:ascii="Arial" w:cs="Arial" w:eastAsia="Arial" w:hAnsi="Arial"/>
          <w:sz w:val="19"/>
          <w:szCs w:val="19"/>
          <w:b w:val="1"/>
          <w:bCs w:val="1"/>
          <w:color w:val="auto"/>
        </w:rPr>
      </w:pPr>
    </w:p>
    <w:p>
      <w:pPr>
        <w:jc w:val="both"/>
        <w:ind w:firstLine="656"/>
        <w:spacing w:after="0" w:line="255" w:lineRule="auto"/>
        <w:tabs>
          <w:tab w:leader="none" w:pos="1151" w:val="left"/>
        </w:tabs>
        <w:numPr>
          <w:ilvl w:val="1"/>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Good Reason.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means the occurrence of any of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Executive’s prior written consent: (i) one or more reductions in Executive’s combined Base Salary and Bonus Target that result in a total reduction of more than ten percent (10%) in Executive’s target package (which consists of the combined cash value of the Base Salary and Bonus Target, irrespective of the actual amount of any Performance Bonus awarded) over the twelve (12) month period immediately preceding such reductions, unless such reductions are made pursuant to one or more across-the-board reductions of all senior executives’ base salaries and/or bonus targets; (ii) a material diminution of Executive’s duties, authority or responsibilities taken as a whole; or (iii) an involuntary relocation of Executive’s principal place of employment to a location that increases Executive’s one-way commute from Executive’s principal residence by more than fifty (50) miles. For avoidance of doubt, any change resulting in Executive no longer reporting to the Board shall constitute a material diminution of Executive’s duties, authorities, or responsibilities as set forth in clause (ii) above in this paragraph. Notwithstanding the foregoing, “</w:t>
      </w:r>
      <w:r>
        <w:rPr>
          <w:rFonts w:ascii="Arial" w:cs="Arial" w:eastAsia="Arial" w:hAnsi="Arial"/>
          <w:sz w:val="19"/>
          <w:szCs w:val="19"/>
          <w:b w:val="1"/>
          <w:bCs w:val="1"/>
          <w:color w:val="auto"/>
        </w:rPr>
        <w:t>Good Reason</w:t>
      </w:r>
      <w:r>
        <w:rPr>
          <w:rFonts w:ascii="Arial" w:cs="Arial" w:eastAsia="Arial" w:hAnsi="Arial"/>
          <w:sz w:val="19"/>
          <w:szCs w:val="19"/>
          <w:color w:val="auto"/>
        </w:rPr>
        <w:t xml:space="preserve">” for Executive to resign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exist unless: (x) Executive provides Company with specific written notice of the existence of the condition giving rise to Good Reason within ninety (90) days after its initial occurrence; (y) Company fails to remedy such condition within thirty (30) days after its receipt of such written notice; and (z) Executive resigns within ninety (90) days after the cure period has lapsed.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60" w:right="239" w:bottom="1440" w:gutter="0" w:footer="0" w:header="0"/>
        </w:sectPr>
      </w:pPr>
    </w:p>
    <w:bookmarkStart w:id="46" w:name="page47"/>
    <w:bookmarkEnd w:id="46"/>
    <w:p>
      <w:pPr>
        <w:jc w:val="both"/>
        <w:ind w:firstLine="656"/>
        <w:spacing w:after="0" w:line="245" w:lineRule="auto"/>
        <w:tabs>
          <w:tab w:leader="none" w:pos="1102"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Final Pay upon Termination for Any Reason. </w:t>
      </w:r>
      <w:r>
        <w:rPr>
          <w:rFonts w:ascii="Arial" w:cs="Arial" w:eastAsia="Arial" w:hAnsi="Arial"/>
          <w:sz w:val="20"/>
          <w:szCs w:val="20"/>
          <w:color w:val="auto"/>
        </w:rPr>
        <w:t>Except as otherwise provided by this Agreement and/or required by law, upon</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Executive’s employment for any reason, Company’s obligation to make payments hereunder shall cease, except that Company shall pay all amounts due and payable for Executive’s services through Executive’s last day of employment (the “</w:t>
      </w:r>
      <w:r>
        <w:rPr>
          <w:rFonts w:ascii="Arial" w:cs="Arial" w:eastAsia="Arial" w:hAnsi="Arial"/>
          <w:sz w:val="20"/>
          <w:szCs w:val="20"/>
          <w:b w:val="1"/>
          <w:bCs w:val="1"/>
          <w:color w:val="auto"/>
        </w:rPr>
        <w:t>Separation Date</w:t>
      </w:r>
      <w:r>
        <w:rPr>
          <w:rFonts w:ascii="Arial" w:cs="Arial" w:eastAsia="Arial" w:hAnsi="Arial"/>
          <w:sz w:val="20"/>
          <w:szCs w:val="20"/>
          <w:color w:val="auto"/>
        </w:rPr>
        <w:t>”), including all accrued unpaid Base Salary and Performance Bonus compensation earned through Separation Date, any benefits accrued prior to the Separation Date, all accrued but unused vacation as of the Separation Date, and any reimbursable business expenses incurred but unreimbursed as of the Separation Date.</w:t>
      </w:r>
    </w:p>
    <w:p>
      <w:pPr>
        <w:spacing w:after="0" w:line="185" w:lineRule="exact"/>
        <w:rPr>
          <w:rFonts w:ascii="Arial" w:cs="Arial" w:eastAsia="Arial" w:hAnsi="Arial"/>
          <w:sz w:val="20"/>
          <w:szCs w:val="20"/>
          <w:b w:val="1"/>
          <w:bCs w:val="1"/>
          <w:color w:val="auto"/>
        </w:rPr>
      </w:pPr>
    </w:p>
    <w:p>
      <w:pPr>
        <w:ind w:left="1040" w:hanging="384"/>
        <w:spacing w:after="0"/>
        <w:tabs>
          <w:tab w:leader="none" w:pos="104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Severance Benefits upon a Covered Termination (No Change in Control).</w:t>
      </w:r>
    </w:p>
    <w:p>
      <w:pPr>
        <w:spacing w:after="0" w:line="242" w:lineRule="exact"/>
        <w:rPr>
          <w:rFonts w:ascii="Arial" w:cs="Arial" w:eastAsia="Arial" w:hAnsi="Arial"/>
          <w:sz w:val="20"/>
          <w:szCs w:val="20"/>
          <w:b w:val="1"/>
          <w:bCs w:val="1"/>
          <w:color w:val="auto"/>
        </w:rPr>
      </w:pPr>
    </w:p>
    <w:p>
      <w:pPr>
        <w:jc w:val="both"/>
        <w:ind w:firstLine="1305"/>
        <w:spacing w:after="0" w:line="299" w:lineRule="auto"/>
        <w:tabs>
          <w:tab w:leader="none" w:pos="1856" w:val="left"/>
        </w:tabs>
        <w:numPr>
          <w:ilvl w:val="1"/>
          <w:numId w:val="36"/>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Executive’s employment is terminated by Company without Cause or due to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for Good Reason (each a “</w:t>
      </w:r>
      <w:r>
        <w:rPr>
          <w:rFonts w:ascii="Arial" w:cs="Arial" w:eastAsia="Arial" w:hAnsi="Arial"/>
          <w:sz w:val="18"/>
          <w:szCs w:val="18"/>
          <w:b w:val="1"/>
          <w:bCs w:val="1"/>
          <w:color w:val="auto"/>
        </w:rPr>
        <w:t>Covered Termination</w:t>
      </w:r>
      <w:r>
        <w:rPr>
          <w:rFonts w:ascii="Arial" w:cs="Arial" w:eastAsia="Arial" w:hAnsi="Arial"/>
          <w:sz w:val="18"/>
          <w:szCs w:val="18"/>
          <w:color w:val="auto"/>
        </w:rPr>
        <w:t>”), Executive shall be eligible to receive the following severance benefits: (1) payment of a severance amount equal to twenty-four (24) months of Executive’s Base Salary in effect immediately prior to the Separation Date (or, the level in effect prior to a reduction of Base Salary that constitutes Good Reason), less applicable payroll tax withholdings and deductions (the “</w:t>
      </w:r>
      <w:r>
        <w:rPr>
          <w:rFonts w:ascii="Arial" w:cs="Arial" w:eastAsia="Arial" w:hAnsi="Arial"/>
          <w:sz w:val="18"/>
          <w:szCs w:val="18"/>
          <w:b w:val="1"/>
          <w:bCs w:val="1"/>
          <w:color w:val="auto"/>
        </w:rPr>
        <w:t>Cash Severance</w:t>
      </w:r>
      <w:r>
        <w:rPr>
          <w:rFonts w:ascii="Arial" w:cs="Arial" w:eastAsia="Arial" w:hAnsi="Arial"/>
          <w:sz w:val="18"/>
          <w:szCs w:val="18"/>
          <w:color w:val="auto"/>
        </w:rPr>
        <w:t>”); (2) a lump sum cash payment equal to the full amount of Executive’s Bonus Target for the fiscal year in which the Separation Date occurs, less applicable employment tax withholdings and deductions (the “</w:t>
      </w:r>
      <w:r>
        <w:rPr>
          <w:rFonts w:ascii="Arial" w:cs="Arial" w:eastAsia="Arial" w:hAnsi="Arial"/>
          <w:sz w:val="18"/>
          <w:szCs w:val="18"/>
          <w:b w:val="1"/>
          <w:bCs w:val="1"/>
          <w:color w:val="auto"/>
        </w:rPr>
        <w:t>Full Target Bonus</w:t>
      </w:r>
      <w:r>
        <w:rPr>
          <w:rFonts w:ascii="Arial" w:cs="Arial" w:eastAsia="Arial" w:hAnsi="Arial"/>
          <w:sz w:val="18"/>
          <w:szCs w:val="18"/>
          <w:color w:val="auto"/>
        </w:rPr>
        <w:t>”); (3) Executive’s then-outstanding equity awards (the “</w:t>
      </w:r>
      <w:r>
        <w:rPr>
          <w:rFonts w:ascii="Arial" w:cs="Arial" w:eastAsia="Arial" w:hAnsi="Arial"/>
          <w:sz w:val="18"/>
          <w:szCs w:val="18"/>
          <w:b w:val="1"/>
          <w:bCs w:val="1"/>
          <w:color w:val="auto"/>
        </w:rPr>
        <w:t>Equity Awards</w:t>
      </w:r>
      <w:r>
        <w:rPr>
          <w:rFonts w:ascii="Arial" w:cs="Arial" w:eastAsia="Arial" w:hAnsi="Arial"/>
          <w:sz w:val="18"/>
          <w:szCs w:val="18"/>
          <w:color w:val="auto"/>
        </w:rPr>
        <w:t>”) that vest based on time will be accelerated with respect to the portion of such Equity Awards that would have become vested if Executive remained employed for twenty-four (24) months after the Separation Date, unless otherwise provided in any time-based Equity Award granted after the Effective Date; provided that, any time-based Equity Awards that are subject to “cliff” vesting, will be converted to monthly vesting, if necessary, in order to effect such vesting acceleration; and (4) the exercise period applicable to the Equity Awards will be extended until the later of (A) the first (1st) anniversary of the Separation Date; or (B)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the avoidance of doubt, the vesting of Executive’s performance-based Equity Awards that were granted under the Company’s Long-Term Performance Share Award Agreement will continue to be governed under the terms of such document. In addition, provided Executive timely elects to continue Executive’s group health insurance coverage after the Separation Date pursuant to the federal COBRA law or applicable state insurance laws such as Cal-COBRA (collectively, “</w:t>
      </w:r>
      <w:r>
        <w:rPr>
          <w:rFonts w:ascii="Arial" w:cs="Arial" w:eastAsia="Arial" w:hAnsi="Arial"/>
          <w:sz w:val="18"/>
          <w:szCs w:val="18"/>
          <w:b w:val="1"/>
          <w:bCs w:val="1"/>
          <w:color w:val="auto"/>
        </w:rPr>
        <w:t>COBRA</w:t>
      </w:r>
      <w:r>
        <w:rPr>
          <w:rFonts w:ascii="Arial" w:cs="Arial" w:eastAsia="Arial" w:hAnsi="Arial"/>
          <w:sz w:val="18"/>
          <w:szCs w:val="18"/>
          <w:color w:val="auto"/>
        </w:rPr>
        <w:t>”), and the terms of the governing health insurance policies, Company will reimburse the monthly COBRA health insurance premiums (the “</w:t>
      </w:r>
      <w:r>
        <w:rPr>
          <w:rFonts w:ascii="Arial" w:cs="Arial" w:eastAsia="Arial" w:hAnsi="Arial"/>
          <w:sz w:val="18"/>
          <w:szCs w:val="18"/>
          <w:b w:val="1"/>
          <w:bCs w:val="1"/>
          <w:color w:val="auto"/>
        </w:rPr>
        <w:t>COBRA Payments</w:t>
      </w:r>
      <w:r>
        <w:rPr>
          <w:rFonts w:ascii="Arial" w:cs="Arial" w:eastAsia="Arial" w:hAnsi="Arial"/>
          <w:sz w:val="18"/>
          <w:szCs w:val="18"/>
          <w:color w:val="auto"/>
        </w:rPr>
        <w:t>”) Executive pays to continue Executive’s health insurance coverage (including dependent coverage) for twenty-four (24) months after the Separation Date, or until such earlier date as Executive either becomes eligible for group health insurance coverage through a new employer or ceases to be eligible for COBRA coverage (the “</w:t>
      </w:r>
      <w:r>
        <w:rPr>
          <w:rFonts w:ascii="Arial" w:cs="Arial" w:eastAsia="Arial" w:hAnsi="Arial"/>
          <w:sz w:val="18"/>
          <w:szCs w:val="18"/>
          <w:b w:val="1"/>
          <w:bCs w:val="1"/>
          <w:color w:val="auto"/>
        </w:rPr>
        <w:t>COBRA Payment Period</w:t>
      </w:r>
      <w:r>
        <w:rPr>
          <w:rFonts w:ascii="Arial" w:cs="Arial" w:eastAsia="Arial" w:hAnsi="Arial"/>
          <w:sz w:val="18"/>
          <w:szCs w:val="18"/>
          <w:color w:val="auto"/>
        </w:rPr>
        <w:t>”). Executive must submit to the Company appropriate documentation of the foregoing health insurance payments, within sixty (60) days of making such payments, in order to be reimbursed. Notwithstanding the foregoing, if Company determines, in its sole discretion, that it cannot pay the COBRA Payments without a substantial risk of violating applicable law (including, without limitation, Section 2716 of the Public Health Service Act), at the end of each remaining month of the COBRA Payment Period, Company shall pay Executive directly a taxable monthly amount which, after taxes, equals the COBRA Payment amount Company would have otherwise paid to Executive (assuming a 35% tax rate). Executive agrees to promptly notify Company in writing if Executive becomes eligible for group health insurance coverage through a new employer before the end of the specified reimbursement period. (All severance benefits provided in this entire subsection 8(f)(i) are referred to collectively as the “</w:t>
      </w:r>
      <w:r>
        <w:rPr>
          <w:rFonts w:ascii="Arial" w:cs="Arial" w:eastAsia="Arial" w:hAnsi="Arial"/>
          <w:sz w:val="18"/>
          <w:szCs w:val="18"/>
          <w:b w:val="1"/>
          <w:bCs w:val="1"/>
          <w:color w:val="auto"/>
        </w:rPr>
        <w:t>Severance Benefits.</w:t>
      </w:r>
      <w:r>
        <w:rPr>
          <w:rFonts w:ascii="Arial" w:cs="Arial" w:eastAsia="Arial" w:hAnsi="Arial"/>
          <w:sz w:val="18"/>
          <w:szCs w:val="18"/>
          <w:color w:val="auto"/>
        </w:rPr>
        <w:t>”)</w:t>
      </w:r>
    </w:p>
    <w:p>
      <w:pPr>
        <w:spacing w:after="0" w:line="179" w:lineRule="exact"/>
        <w:rPr>
          <w:rFonts w:ascii="Arial" w:cs="Arial" w:eastAsia="Arial" w:hAnsi="Arial"/>
          <w:sz w:val="19"/>
          <w:szCs w:val="19"/>
          <w:b w:val="1"/>
          <w:bCs w:val="1"/>
          <w:color w:val="auto"/>
        </w:rPr>
      </w:pPr>
    </w:p>
    <w:p>
      <w:pPr>
        <w:jc w:val="both"/>
        <w:ind w:firstLine="1305"/>
        <w:spacing w:after="0" w:line="268" w:lineRule="auto"/>
        <w:tabs>
          <w:tab w:leader="none" w:pos="1754" w:val="left"/>
        </w:tabs>
        <w:numPr>
          <w:ilvl w:val="1"/>
          <w:numId w:val="36"/>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Preconditions. </w:t>
      </w:r>
      <w:r>
        <w:rPr>
          <w:rFonts w:ascii="Arial" w:cs="Arial" w:eastAsia="Arial" w:hAnsi="Arial"/>
          <w:sz w:val="20"/>
          <w:szCs w:val="20"/>
          <w:color w:val="auto"/>
        </w:rPr>
        <w:t>As a precondition to receiving any Severance Benefits, Executive must (1) remain in compliance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continuing obligations Executive owes to Company, including those under this Agreement and Executive’s Confidential Information Agreement, and (2) within twenty-one (21)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60" w:right="239" w:bottom="1440" w:gutter="0" w:footer="0" w:header="0"/>
        </w:sectPr>
      </w:pPr>
    </w:p>
    <w:bookmarkStart w:id="47" w:name="page48"/>
    <w:bookmarkEnd w:id="47"/>
    <w:p>
      <w:pPr>
        <w:jc w:val="both"/>
        <w:spacing w:after="0" w:line="273" w:lineRule="auto"/>
        <w:rPr>
          <w:sz w:val="20"/>
          <w:szCs w:val="20"/>
          <w:color w:val="auto"/>
        </w:rPr>
      </w:pPr>
      <w:r>
        <w:rPr>
          <w:rFonts w:ascii="Arial" w:cs="Arial" w:eastAsia="Arial" w:hAnsi="Arial"/>
          <w:sz w:val="18"/>
          <w:szCs w:val="18"/>
          <w:color w:val="auto"/>
        </w:rPr>
        <w:t xml:space="preserve">days after the Separation Date (or forty-five (45) days after the Separation Date, in the event of a group reduction-in-force), Executive must sign and return to Company, a release of claims in substantially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Release</w:t>
      </w:r>
      <w:r>
        <w:rPr>
          <w:rFonts w:ascii="Arial" w:cs="Arial" w:eastAsia="Arial" w:hAnsi="Arial"/>
          <w:sz w:val="18"/>
          <w:szCs w:val="18"/>
          <w:color w:val="auto"/>
        </w:rPr>
        <w:t>”) (as modified, if necessary, to comply with legal requirements in the event of a group reduction-in-force) and allow the Release to become fully-effective and non-revocable by its terms. The Cash Severance will be paid in the form of continuing installments on Company’s ordinary payroll schedule, beginning on the first payroll date following the effective date of such Release. The Full Target Bonus will be paid on the next date on which bonuses are regularly scheduled to be paid, which in no event will be later than March 15 of the year following the year in which the Separation Date occurs. In the event the Release is not fully effective as of the next date on which bonuses are regularly scheduled to be paid, the Full Target Bonus will be paid within ten (10) business days following the effective date of such Release.</w:t>
      </w:r>
    </w:p>
    <w:p>
      <w:pPr>
        <w:spacing w:after="0" w:line="163" w:lineRule="exact"/>
        <w:rPr>
          <w:sz w:val="20"/>
          <w:szCs w:val="20"/>
          <w:color w:val="auto"/>
        </w:rPr>
      </w:pPr>
    </w:p>
    <w:p>
      <w:pPr>
        <w:jc w:val="both"/>
        <w:ind w:firstLine="656"/>
        <w:spacing w:after="0" w:line="274" w:lineRule="auto"/>
        <w:tabs>
          <w:tab w:leader="none" w:pos="1072"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Due to Death or Disability. </w:t>
      </w:r>
      <w:r>
        <w:rPr>
          <w:rFonts w:ascii="Arial" w:cs="Arial" w:eastAsia="Arial" w:hAnsi="Arial"/>
          <w:sz w:val="18"/>
          <w:szCs w:val="18"/>
          <w:color w:val="auto"/>
        </w:rPr>
        <w:t>Subject to applicable state or federal law, Executive’s employment with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terminate upon Executive’s death or Disability. For purposes of this Agreement, “</w:t>
      </w:r>
      <w:r>
        <w:rPr>
          <w:rFonts w:ascii="Arial" w:cs="Arial" w:eastAsia="Arial" w:hAnsi="Arial"/>
          <w:sz w:val="18"/>
          <w:szCs w:val="18"/>
          <w:b w:val="1"/>
          <w:bCs w:val="1"/>
          <w:color w:val="auto"/>
        </w:rPr>
        <w:t>Disability</w:t>
      </w:r>
      <w:r>
        <w:rPr>
          <w:rFonts w:ascii="Arial" w:cs="Arial" w:eastAsia="Arial" w:hAnsi="Arial"/>
          <w:sz w:val="18"/>
          <w:szCs w:val="18"/>
          <w:color w:val="auto"/>
        </w:rPr>
        <w:t>” means a physical or mental condition or disability which prevents Executive from performing Executive’s job responsibilities for more than six (6) months in any twelve</w:t>
      </w:r>
    </w:p>
    <w:p>
      <w:pPr>
        <w:spacing w:after="0" w:line="1" w:lineRule="exact"/>
        <w:rPr>
          <w:rFonts w:ascii="Arial" w:cs="Arial" w:eastAsia="Arial" w:hAnsi="Arial"/>
          <w:sz w:val="18"/>
          <w:szCs w:val="18"/>
          <w:b w:val="1"/>
          <w:bCs w:val="1"/>
          <w:color w:val="auto"/>
        </w:rPr>
      </w:pPr>
    </w:p>
    <w:p>
      <w:pPr>
        <w:jc w:val="both"/>
        <w:ind w:firstLine="8"/>
        <w:spacing w:after="0" w:line="304" w:lineRule="auto"/>
        <w:tabs>
          <w:tab w:leader="none" w:pos="417" w:val="left"/>
        </w:tabs>
        <w:numPr>
          <w:ilvl w:val="0"/>
          <w:numId w:val="38"/>
        </w:numPr>
        <w:rPr>
          <w:rFonts w:ascii="Arial" w:cs="Arial" w:eastAsia="Arial" w:hAnsi="Arial"/>
          <w:sz w:val="16"/>
          <w:szCs w:val="16"/>
          <w:color w:val="auto"/>
        </w:rPr>
      </w:pPr>
      <w:r>
        <w:rPr>
          <w:rFonts w:ascii="Arial" w:cs="Arial" w:eastAsia="Arial" w:hAnsi="Arial"/>
          <w:sz w:val="16"/>
          <w:szCs w:val="16"/>
          <w:color w:val="auto"/>
        </w:rPr>
        <w:t>month period, or for more than four (4) consecutive months. If Executive’s employment is terminated due to Executive’s death or Disability, in addition to any benefits under Company’s standard life and disability insurance policies, Executive (or Executive’s designated beneficiaries or estate) shall be eligible to receive the following severance benefits: (i) a lump sum payment equal to the amount of Executive’s Bonus Target for the fiscal year in which the Separation Date occurs, prorated based on the Separation Date and less applicable employment tax withholdings and deductions; (ii) accelerated vesting of Executive’s performance-based Equity Awards, prorated as set forth in the applicable Equity Award agreements (i.e., for any long-term performance share awards, a pro rata portion of those performance shares which have not completed their performance cycle, based on the portion of the performance cycle completed as of the Separation Date and based on the actual performance at the end of such performance cycle); (iii) monthly prorated accelerated vesting of Executive’s time-based Equity Awards; and (iv) the exercise period applicable to the Equity Awards will be extended until the later of (1) the first (1st) anniversary of the Separation Date; or (2)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sake of reference, all severance benefits provided in this entire subsection 8(g) are referred to collectively as the “</w:t>
      </w:r>
      <w:r>
        <w:rPr>
          <w:rFonts w:ascii="Arial" w:cs="Arial" w:eastAsia="Arial" w:hAnsi="Arial"/>
          <w:sz w:val="16"/>
          <w:szCs w:val="16"/>
          <w:b w:val="1"/>
          <w:bCs w:val="1"/>
          <w:color w:val="auto"/>
        </w:rPr>
        <w:t>Death or Disability Severance Benefits</w:t>
      </w:r>
      <w:r>
        <w:rPr>
          <w:rFonts w:ascii="Arial" w:cs="Arial" w:eastAsia="Arial" w:hAnsi="Arial"/>
          <w:sz w:val="16"/>
          <w:szCs w:val="16"/>
          <w:color w:val="auto"/>
        </w:rPr>
        <w:t>”). The Death and Disability Severance Benefits shall be paid subject to the same preconditions and on the same terms and conditions applicable to the Severance Benefits, as set forth in Section 8(f)(ii) (Preconditions).</w:t>
      </w:r>
    </w:p>
    <w:p>
      <w:pPr>
        <w:spacing w:after="0" w:line="37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 BENEFITS.</w:t>
      </w:r>
    </w:p>
    <w:p>
      <w:pPr>
        <w:spacing w:after="0" w:line="215" w:lineRule="exact"/>
        <w:rPr>
          <w:rFonts w:ascii="Arial" w:cs="Arial" w:eastAsia="Arial" w:hAnsi="Arial"/>
          <w:sz w:val="20"/>
          <w:szCs w:val="20"/>
          <w:b w:val="1"/>
          <w:bCs w:val="1"/>
          <w:color w:val="auto"/>
        </w:rPr>
      </w:pPr>
    </w:p>
    <w:p>
      <w:pPr>
        <w:jc w:val="both"/>
        <w:ind w:firstLine="656"/>
        <w:spacing w:after="0" w:line="272" w:lineRule="auto"/>
        <w:tabs>
          <w:tab w:leader="none" w:pos="1099"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Termination. </w:t>
      </w:r>
      <w:r>
        <w:rPr>
          <w:rFonts w:ascii="Arial" w:cs="Arial" w:eastAsia="Arial" w:hAnsi="Arial"/>
          <w:sz w:val="18"/>
          <w:szCs w:val="18"/>
          <w:color w:val="auto"/>
        </w:rPr>
        <w:t>If Executive’s employment with Company is terminated by Company without Cause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Executive’s death or Disability) or Executive resigns for Good Reason, and such termination or resignation occurs within the period beginning three (3) months before and ending twelve (12) months after a Change in Control (defined below) (each a “</w:t>
      </w:r>
      <w:r>
        <w:rPr>
          <w:rFonts w:ascii="Arial" w:cs="Arial" w:eastAsia="Arial" w:hAnsi="Arial"/>
          <w:sz w:val="18"/>
          <w:szCs w:val="18"/>
          <w:b w:val="1"/>
          <w:bCs w:val="1"/>
          <w:color w:val="auto"/>
        </w:rPr>
        <w:t>CIC Termination</w:t>
      </w:r>
      <w:r>
        <w:rPr>
          <w:rFonts w:ascii="Arial" w:cs="Arial" w:eastAsia="Arial" w:hAnsi="Arial"/>
          <w:sz w:val="18"/>
          <w:szCs w:val="18"/>
          <w:color w:val="auto"/>
        </w:rPr>
        <w:t>”), Executive shall be eligible to receive the following enhanced severance package (in lieu of the Severance Benefits described above): (i) payment of thirty-six (36) months of Executive’s Base Salary as in effect immediately prior to the Separation Date, less applicable withholdings and deductions; (ii) a lump sum cash payment equal to the Full Target Bonus; (iii) accelerated vesting of Executive’s Equity Awards so that Executive becomes one hundred percent (100%) vested in all such Equity Awards, with the Equity Awards that vest based on performance being accelerated to the “target” level of achievement; and (iv) the exercise period applicable to the Equity Awards will be extended until the later of (1) the first (1st) anniversary of the Separation Date; or (2) the date provided in the applicable Equity Award agreement, but in no case longer than the expiration of the stated term of the Equity Award. Except for the foregoing accelerated vesting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66" w:right="2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9"/>
          <w:szCs w:val="19"/>
          <w:color w:val="auto"/>
        </w:rPr>
        <w:t>extended exercise benefits, all existing terms and conditions applicable to the Equity Awards shall remain in full force and effect. In addition, provided Executive timely elects to continue Executive’s group health insurance coverage after the Separation Date pursuant to COBRA, and the terms of the governing health insurance policies, Company will reimburse all monthly COBRA health insurance premiums Executive pays to continue Executive’s health insurance coverage (including dependent coverage) for thirty-six (36) months after the Separation Date or until such earlier date as Executive either becomes eligible for group health insurance coverage through a new employer or Executive ceases to be eligible for COBRA coverage. (All severance benefits provided in this subsection 9(a) shall be referred to collectively as the “</w:t>
      </w:r>
      <w:r>
        <w:rPr>
          <w:rFonts w:ascii="Arial" w:cs="Arial" w:eastAsia="Arial" w:hAnsi="Arial"/>
          <w:sz w:val="19"/>
          <w:szCs w:val="19"/>
          <w:b w:val="1"/>
          <w:bCs w:val="1"/>
          <w:color w:val="auto"/>
        </w:rPr>
        <w:t>CIC Severance</w:t>
      </w:r>
      <w:r>
        <w:rPr>
          <w:rFonts w:ascii="Arial" w:cs="Arial" w:eastAsia="Arial" w:hAnsi="Arial"/>
          <w:sz w:val="19"/>
          <w:szCs w:val="19"/>
          <w:color w:val="auto"/>
        </w:rPr>
        <w:t xml:space="preserve"> </w:t>
      </w:r>
      <w:r>
        <w:rPr>
          <w:rFonts w:ascii="Arial" w:cs="Arial" w:eastAsia="Arial" w:hAnsi="Arial"/>
          <w:sz w:val="19"/>
          <w:szCs w:val="19"/>
          <w:b w:val="1"/>
          <w:bCs w:val="1"/>
          <w:color w:val="auto"/>
        </w:rPr>
        <w:t>Benefits.</w:t>
      </w:r>
      <w:r>
        <w:rPr>
          <w:rFonts w:ascii="Arial" w:cs="Arial" w:eastAsia="Arial" w:hAnsi="Arial"/>
          <w:sz w:val="19"/>
          <w:szCs w:val="19"/>
          <w:color w:val="auto"/>
        </w:rPr>
        <w:t>”) The CIC Severance Benefits shall be paid subject to the same preconditions and on the same terms and conditions applicable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Severance Benefits, as set forth in Section 8(f)(ii) (Preconditions).</w:t>
      </w:r>
    </w:p>
    <w:p>
      <w:pPr>
        <w:spacing w:after="0" w:line="175" w:lineRule="exact"/>
        <w:rPr>
          <w:sz w:val="20"/>
          <w:szCs w:val="20"/>
          <w:color w:val="auto"/>
        </w:rPr>
      </w:pPr>
    </w:p>
    <w:p>
      <w:pPr>
        <w:jc w:val="both"/>
        <w:ind w:firstLine="656"/>
        <w:spacing w:after="0" w:line="270" w:lineRule="auto"/>
        <w:tabs>
          <w:tab w:leader="none" w:pos="1138"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 of Change in Control. </w:t>
      </w: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(i) the acquisition by any individual, entity or group (a “</w:t>
      </w:r>
      <w:r>
        <w:rPr>
          <w:rFonts w:ascii="Arial" w:cs="Arial" w:eastAsia="Arial" w:hAnsi="Arial"/>
          <w:sz w:val="18"/>
          <w:szCs w:val="18"/>
          <w:b w:val="1"/>
          <w:bCs w:val="1"/>
          <w:color w:val="auto"/>
        </w:rPr>
        <w:t>Person”</w:t>
      </w:r>
      <w:r>
        <w:rPr>
          <w:rFonts w:ascii="Arial" w:cs="Arial" w:eastAsia="Arial" w:hAnsi="Arial"/>
          <w:sz w:val="18"/>
          <w:szCs w:val="18"/>
          <w:color w:val="auto"/>
        </w:rPr>
        <w:t>), within the meaning of Section 13(d)(3) or 14(d)(2) of the Securities and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of beneficial ownership (within the meaning of Rule 13d-3 promulgated under the Exchange Act) of 50% or more of the combined voting power of the then outstanding securities of Company entitled to vote generally in the election of directors (“</w:t>
      </w:r>
      <w:r>
        <w:rPr>
          <w:rFonts w:ascii="Arial" w:cs="Arial" w:eastAsia="Arial" w:hAnsi="Arial"/>
          <w:sz w:val="18"/>
          <w:szCs w:val="18"/>
          <w:b w:val="1"/>
          <w:bCs w:val="1"/>
          <w:color w:val="auto"/>
        </w:rPr>
        <w:t>Voting Stock</w:t>
      </w:r>
      <w:r>
        <w:rPr>
          <w:rFonts w:ascii="Arial" w:cs="Arial" w:eastAsia="Arial" w:hAnsi="Arial"/>
          <w:sz w:val="18"/>
          <w:szCs w:val="18"/>
          <w:color w:val="auto"/>
        </w:rPr>
        <w:t>”); or (ii) consummation of a reorganization, merger or consolidation, a sale or other disposition of all or substantially all of the assets of Company, or other transaction ( each, a “</w:t>
      </w:r>
      <w:r>
        <w:rPr>
          <w:rFonts w:ascii="Arial" w:cs="Arial" w:eastAsia="Arial" w:hAnsi="Arial"/>
          <w:sz w:val="18"/>
          <w:szCs w:val="18"/>
          <w:b w:val="1"/>
          <w:bCs w:val="1"/>
          <w:color w:val="auto"/>
        </w:rPr>
        <w:t>Business Combination</w:t>
      </w:r>
      <w:r>
        <w:rPr>
          <w:rFonts w:ascii="Arial" w:cs="Arial" w:eastAsia="Arial" w:hAnsi="Arial"/>
          <w:sz w:val="18"/>
          <w:szCs w:val="18"/>
          <w:color w:val="auto"/>
        </w:rPr>
        <w:t>”), unless, in each case, immediately following such Business Combination, (A) all or substantially all of the individuals and entities who were the beneficial owners of Voting Stock of Company immediately prior to such Business Combination beneficially own, directly or indirectly, more than 50% of the combined voting power of the then outstanding shares of Voting Stock of the entity resulting from such Business Combination (including, without limitation, an entity which as a result of such transaction owns Company or all or substantially all of Company's assets either directly or through one or more subsidiaries) in substantially the same proportions relative to each other as their ownership, immediately prior to such Business Combination, of the Voting Stock of Company; and (B) no Person beneficially owns, directly or indirectly, 50% or more of the combined voting power of the then outstanding shares of Voting Stock of the entity resulting from such Business Combination.</w:t>
      </w:r>
    </w:p>
    <w:p>
      <w:pPr>
        <w:spacing w:after="0" w:line="173" w:lineRule="exact"/>
        <w:rPr>
          <w:rFonts w:ascii="Arial" w:cs="Arial" w:eastAsia="Arial" w:hAnsi="Arial"/>
          <w:sz w:val="18"/>
          <w:szCs w:val="18"/>
          <w:b w:val="1"/>
          <w:bCs w:val="1"/>
          <w:color w:val="auto"/>
        </w:rPr>
      </w:pPr>
    </w:p>
    <w:p>
      <w:pPr>
        <w:jc w:val="both"/>
        <w:ind w:firstLine="656"/>
        <w:spacing w:after="0" w:line="248" w:lineRule="auto"/>
        <w:tabs>
          <w:tab w:leader="none" w:pos="1075" w:val="left"/>
        </w:tabs>
        <w:numPr>
          <w:ilvl w:val="1"/>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Prior CIC Agreement. </w:t>
      </w:r>
      <w:r>
        <w:rPr>
          <w:rFonts w:ascii="Arial" w:cs="Arial" w:eastAsia="Arial" w:hAnsi="Arial"/>
          <w:sz w:val="20"/>
          <w:szCs w:val="20"/>
          <w:color w:val="auto"/>
        </w:rPr>
        <w:t>The Parties hereby acknowledge and agree that: (i) this Agreement supersedes in its entirety the January</w:t>
      </w:r>
      <w:r>
        <w:rPr>
          <w:rFonts w:ascii="Arial" w:cs="Arial" w:eastAsia="Arial" w:hAnsi="Arial"/>
          <w:sz w:val="20"/>
          <w:szCs w:val="20"/>
          <w:b w:val="1"/>
          <w:bCs w:val="1"/>
          <w:color w:val="auto"/>
        </w:rPr>
        <w:t xml:space="preserve"> </w:t>
      </w:r>
      <w:r>
        <w:rPr>
          <w:rFonts w:ascii="Arial" w:cs="Arial" w:eastAsia="Arial" w:hAnsi="Arial"/>
          <w:sz w:val="20"/>
          <w:szCs w:val="20"/>
          <w:color w:val="auto"/>
        </w:rPr>
        <w:t>3, 2007 Change in Control Agreement between Executive and Company (the “</w:t>
      </w:r>
      <w:r>
        <w:rPr>
          <w:rFonts w:ascii="Arial" w:cs="Arial" w:eastAsia="Arial" w:hAnsi="Arial"/>
          <w:sz w:val="20"/>
          <w:szCs w:val="20"/>
          <w:b w:val="1"/>
          <w:bCs w:val="1"/>
          <w:color w:val="auto"/>
        </w:rPr>
        <w:t>Prior CIC Agreement</w:t>
      </w:r>
      <w:r>
        <w:rPr>
          <w:rFonts w:ascii="Arial" w:cs="Arial" w:eastAsia="Arial" w:hAnsi="Arial"/>
          <w:sz w:val="20"/>
          <w:szCs w:val="20"/>
          <w:color w:val="auto"/>
        </w:rPr>
        <w:t>”), such that the Parties’ rights and obligations under that Prior CIC Agreement are null and void as of the Effective Date; and (ii) the CIC Benefits are the sole benefits to which Executive shall be entitled in the event of a CIC Termination.</w:t>
      </w:r>
    </w:p>
    <w:p>
      <w:pPr>
        <w:spacing w:after="0" w:line="183" w:lineRule="exact"/>
        <w:rPr>
          <w:rFonts w:ascii="Arial" w:cs="Arial" w:eastAsia="Arial" w:hAnsi="Arial"/>
          <w:sz w:val="20"/>
          <w:szCs w:val="20"/>
          <w:b w:val="1"/>
          <w:bCs w:val="1"/>
          <w:color w:val="auto"/>
        </w:rPr>
      </w:pPr>
    </w:p>
    <w:p>
      <w:pPr>
        <w:jc w:val="both"/>
        <w:ind w:firstLine="8"/>
        <w:spacing w:after="0" w:line="280" w:lineRule="auto"/>
        <w:tabs>
          <w:tab w:leader="none" w:pos="52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SECTION 409A COMPLIANCE. </w:t>
      </w:r>
      <w:r>
        <w:rPr>
          <w:rFonts w:ascii="Arial" w:cs="Arial" w:eastAsia="Arial" w:hAnsi="Arial"/>
          <w:sz w:val="18"/>
          <w:szCs w:val="18"/>
          <w:color w:val="auto"/>
        </w:rPr>
        <w:t>Notwithstanding anything set forth in this Agreement to the contrary, any payments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provided pursuant to this Agreement which constitute “deferred compensation” within the meaning of the Treasury Regulations issued pursuant to Section 409A of the Internal Revenue Code (the “</w:t>
      </w:r>
      <w:r>
        <w:rPr>
          <w:rFonts w:ascii="Arial" w:cs="Arial" w:eastAsia="Arial" w:hAnsi="Arial"/>
          <w:sz w:val="18"/>
          <w:szCs w:val="18"/>
          <w:b w:val="1"/>
          <w:bCs w:val="1"/>
          <w:color w:val="auto"/>
        </w:rPr>
        <w:t>Code</w:t>
      </w:r>
      <w:r>
        <w:rPr>
          <w:rFonts w:ascii="Arial" w:cs="Arial" w:eastAsia="Arial" w:hAnsi="Arial"/>
          <w:sz w:val="18"/>
          <w:szCs w:val="18"/>
          <w:color w:val="auto"/>
        </w:rPr>
        <w:t>”) shall not commence until Executive has incurred a “separation from service” (as such term is defined in the Treasury Regulation Section 1.409A-1(h) (“</w:t>
      </w:r>
      <w:r>
        <w:rPr>
          <w:rFonts w:ascii="Arial" w:cs="Arial" w:eastAsia="Arial" w:hAnsi="Arial"/>
          <w:sz w:val="18"/>
          <w:szCs w:val="18"/>
          <w:b w:val="1"/>
          <w:bCs w:val="1"/>
          <w:color w:val="auto"/>
        </w:rPr>
        <w:t>Separation From Service</w:t>
      </w:r>
      <w:r>
        <w:rPr>
          <w:rFonts w:ascii="Arial" w:cs="Arial" w:eastAsia="Arial" w:hAnsi="Arial"/>
          <w:sz w:val="18"/>
          <w:szCs w:val="18"/>
          <w:color w:val="auto"/>
        </w:rPr>
        <w:t>”), unless Company reasonably determines that such amounts may be provided to Executive without causing Executive to incur the additional 20% tax under Section 409A.</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avoidance of doubt, it is intended that the payments and benefits set forth in this Agreement satisfy, to the greatest extent possible, the exemptions from the application of Section 409A provided under Treasury Regulation Sections 1.409A-1(b)(4), 1.409A-1(b)(5) and 1.409A-1(b)(9) and this Agreement will be construed to the greatest extent possible as consistent with those provisions. To the extent not so exempt, this Agreement (and any definitions hereunder) will be construed in a manner that complies with Section 409A and incorporates by reference all required definitions and payment terms. For purposes of Section 409A (including, without limitation, for purposes of Treasury Regulation Section 1.409A 2(b)(2)(iii)), Executive’s right to receive any installment payments under this Agreement (whether severance payments,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66" w:right="239" w:bottom="1440" w:gutter="0" w:footer="0" w:header="0"/>
        </w:sectPr>
      </w:pPr>
    </w:p>
    <w:bookmarkStart w:id="49" w:name="page50"/>
    <w:bookmarkEnd w:id="49"/>
    <w:p>
      <w:pPr>
        <w:jc w:val="both"/>
        <w:spacing w:after="0" w:line="270" w:lineRule="auto"/>
        <w:rPr>
          <w:sz w:val="20"/>
          <w:szCs w:val="20"/>
          <w:color w:val="auto"/>
        </w:rPr>
      </w:pPr>
      <w:r>
        <w:rPr>
          <w:rFonts w:ascii="Arial" w:cs="Arial" w:eastAsia="Arial" w:hAnsi="Arial"/>
          <w:sz w:val="18"/>
          <w:szCs w:val="18"/>
          <w:color w:val="auto"/>
        </w:rPr>
        <w:t>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Company (or, if applicable, the successor entity thereto) determines that any payments upon Executive’s Separation From Service set forth herein and/or under any other agreement with Company constitute “deferred compensation” under Section 409A and Executive is, on Executive’s Separation From Service, a “specified employee” of Company or any successor entity thereto, as such term is defined in Section 409A(a)(2)(B)(i) of the Code, then, solely, to the extent necessary to avoid the incurrence of the adverse personal tax consequences under Section 409A, the timing of the payments upon Executive’s Separation From Service shall be delayed until the earlier to occur of: (a) the date that is six months and one day after Executive’s Separation From Service or (b) the date of Executive’s death (such applicable date, the “</w:t>
      </w:r>
      <w:r>
        <w:rPr>
          <w:rFonts w:ascii="Arial" w:cs="Arial" w:eastAsia="Arial" w:hAnsi="Arial"/>
          <w:sz w:val="18"/>
          <w:szCs w:val="18"/>
          <w:b w:val="1"/>
          <w:bCs w:val="1"/>
          <w:color w:val="auto"/>
        </w:rPr>
        <w:t>Specified Employee Initial Payment Date</w:t>
      </w:r>
      <w:r>
        <w:rPr>
          <w:rFonts w:ascii="Arial" w:cs="Arial" w:eastAsia="Arial" w:hAnsi="Arial"/>
          <w:sz w:val="18"/>
          <w:szCs w:val="18"/>
          <w:color w:val="auto"/>
        </w:rPr>
        <w:t>”). On the Specified Employee Initial Payment Date, Company (or the successor entity thereto, as applicable) shall (A) pay to Executive a lump sum amount equal to the sum of the payments upon Executive’s Separation From Service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None of the severance benefits under this Agreement will commence or otherwise be delivered prior to the effective date of the Release. Except to the minimum extent that payments must be delayed because Executive is a “specified employee” (as described above) or until the effectiveness of the Release, all amounts will be paid as soon as practicable in accordance with Company’s normal payroll practices and no interest will be due on any amounts so deferred.</w:t>
      </w:r>
    </w:p>
    <w:p>
      <w:pPr>
        <w:spacing w:after="0" w:line="186" w:lineRule="exact"/>
        <w:rPr>
          <w:sz w:val="20"/>
          <w:szCs w:val="20"/>
          <w:color w:val="auto"/>
        </w:rPr>
      </w:pPr>
    </w:p>
    <w:p>
      <w:pPr>
        <w:jc w:val="both"/>
        <w:ind w:firstLine="8"/>
        <w:spacing w:after="0" w:line="255" w:lineRule="auto"/>
        <w:tabs>
          <w:tab w:leader="none" w:pos="497"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BETTER AFTER TAX PROVISION. </w:t>
      </w:r>
      <w:r>
        <w:rPr>
          <w:rFonts w:ascii="Arial" w:cs="Arial" w:eastAsia="Arial" w:hAnsi="Arial"/>
          <w:sz w:val="19"/>
          <w:szCs w:val="19"/>
          <w:color w:val="auto"/>
        </w:rPr>
        <w:t>If any payment or benefit that Executive will or may receive from Company or otherwise (a</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280G 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any such 280G Payment will be equal to the Reduced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will be either (x) the largest portion of the 280G Payment that would result in no portion of the 280G Payment (after reduction) being subject to the Excise Tax, or (y) the largest portion, up to and including the total, of the 280G Payment, whichever amount (</w:t>
      </w:r>
      <w:r>
        <w:rPr>
          <w:rFonts w:ascii="Arial" w:cs="Arial" w:eastAsia="Arial" w:hAnsi="Arial"/>
          <w:sz w:val="19"/>
          <w:szCs w:val="19"/>
          <w:i w:val="1"/>
          <w:iCs w:val="1"/>
          <w:color w:val="auto"/>
        </w:rPr>
        <w:t>i.e</w:t>
      </w:r>
      <w:r>
        <w:rPr>
          <w:rFonts w:ascii="Arial" w:cs="Arial" w:eastAsia="Arial" w:hAnsi="Arial"/>
          <w:sz w:val="19"/>
          <w:szCs w:val="19"/>
          <w:color w:val="auto"/>
        </w:rPr>
        <w:t>.,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280G Payment may be subject to the Excise Tax. If a reduction in a 280G Payment is required pursuant to the preceding sentence and the Reduced Amount is determined pursuant to clause (x) of the preceding sentence, the reduction will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b w:val="1"/>
          <w:bCs w:val="1"/>
          <w:color w:val="auto"/>
        </w:rPr>
        <w:t>Pro Rata Reduction Method</w:t>
      </w:r>
      <w:r>
        <w:rPr>
          <w:rFonts w:ascii="Arial" w:cs="Arial" w:eastAsia="Arial" w:hAnsi="Arial"/>
          <w:sz w:val="19"/>
          <w:szCs w:val="19"/>
          <w:color w:val="auto"/>
        </w:rPr>
        <w:t>”).</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Notwithstanding the foregoing, if the Reduction Method or the Pro Rata Reduction Method would result in any portion of the 280G Payment being subject to taxes pursuant to Section 409A of the Code that would not otherwise be subject to taxes pursuant to Section 409A of the Code, then the Reduction Method and/or the Pro Rata Reduction Method, as the case may be, will be modified so as to avoid the imposition of taxes pursuant to Section 409A of the Code as follows: (A) as a first priority, the modification will preserve to the greatest extent possible, the greatest economic benefit for Executive as determined on an after-tax basis; (B) as a second priority, 280G Payments that are contingent on future events (</w:t>
      </w:r>
      <w:r>
        <w:rPr>
          <w:rFonts w:ascii="Arial" w:cs="Arial" w:eastAsia="Arial" w:hAnsi="Arial"/>
          <w:sz w:val="18"/>
          <w:szCs w:val="18"/>
          <w:i w:val="1"/>
          <w:iCs w:val="1"/>
          <w:color w:val="auto"/>
        </w:rPr>
        <w:t>e.g</w:t>
      </w:r>
      <w:r>
        <w:rPr>
          <w:rFonts w:ascii="Arial" w:cs="Arial" w:eastAsia="Arial" w:hAnsi="Arial"/>
          <w:sz w:val="18"/>
          <w:szCs w:val="18"/>
          <w:color w:val="auto"/>
        </w:rPr>
        <w:t>., being terminated without Cause), will be reduced (or eliminated) before 280G Payments that are not contingent on future events; and (C) as a third priority, 280G Payments that are “deferred compensation” within the meaning of Section 409A of the Code will be reduced (or eliminated) before 280G Payments that are not “deferred compensation” within the meaning of Section 409A of the Code.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66" w:right="239" w:bottom="1440" w:gutter="0" w:footer="0" w:header="0"/>
        </w:sectPr>
      </w:pPr>
    </w:p>
    <w:bookmarkStart w:id="50" w:name="page51"/>
    <w:bookmarkEnd w:id="50"/>
    <w:p>
      <w:pPr>
        <w:jc w:val="both"/>
        <w:spacing w:after="0" w:line="260" w:lineRule="auto"/>
        <w:rPr>
          <w:sz w:val="20"/>
          <w:szCs w:val="20"/>
          <w:color w:val="auto"/>
        </w:rPr>
      </w:pPr>
      <w:r>
        <w:rPr>
          <w:rFonts w:ascii="Arial" w:cs="Arial" w:eastAsia="Arial" w:hAnsi="Arial"/>
          <w:sz w:val="20"/>
          <w:szCs w:val="20"/>
          <w:color w:val="auto"/>
        </w:rPr>
        <w:t>If Section 280G of the Code is not applicable by law to Executive, Company will determine whether any similar law in Executive’s jurisdiction applies and should be taken into account.</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independent professional firm engaged by Company for general tax audit purposes as of the day prior to the effective date of the Change in Control will make all determinations required to be made under this Section. If the firm so engaged by Company is serving as accountant or auditor for the individual, entity or group effecting the Change in Control, Company will appoint a nationally recognized independent professional firm to make the determinations required hereunder. Company will bear all expenses with respect to the determinations by such firm required to be made hereunder. Company will use commercially reasonable efforts to cause the firm engaged to make the determinations hereunder to provide its calculations, together with detailed supporting documentation, to Company and Executive within thirty (30) calendar days after the date on which Executive’s right to a 280G Payment becomes reasonably likely to occur (if requested at that time by Company or Executive) or such other time as requested by Company or Executive.</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Executive receives a 280G Payment for which the Reduced Amount was determined pursuant to clause (x) of the first paragraph of this Section and the Internal Revenue Service determines thereafter that some portion of the 280G Payment is subject to the Excise Tax, Executive will promptly return to Company a sufficient amount of the 280G Payment (after reduction pursuant to clause (x) of the first paragraph of this Section) so that no portion of the remaining 280G Payment is subject to the Excise Tax. For the avoidance of doubt, if the Reduced Amount was determined pursuant to clause (y) of the first paragraph of this Section, Executive will have no obligation to return any portion of the 280G Payment pursuant to the preceding sentence.</w:t>
      </w:r>
    </w:p>
    <w:p>
      <w:pPr>
        <w:spacing w:after="0" w:line="191"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5" w:lineRule="exact"/>
        <w:rPr>
          <w:rFonts w:ascii="Arial" w:cs="Arial" w:eastAsia="Arial" w:hAnsi="Arial"/>
          <w:sz w:val="20"/>
          <w:szCs w:val="20"/>
          <w:b w:val="1"/>
          <w:bCs w:val="1"/>
          <w:color w:val="auto"/>
        </w:rPr>
      </w:pPr>
    </w:p>
    <w:p>
      <w:pPr>
        <w:jc w:val="both"/>
        <w:ind w:firstLine="656"/>
        <w:spacing w:after="0" w:line="273" w:lineRule="auto"/>
        <w:tabs>
          <w:tab w:leader="none" w:pos="1126"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Executive shall be responsible for the payment of any taxes due on any and all compensation, stock option, or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Company pursuant to this Agreement which are not withheld by Company. Executive agrees to indemnify and hold harmless Company from any and all claims or penalties asserted against Company arising from Executive’s failure to pay taxes due on any compensation, stock option, or benefit provided by Company pursuant to this Agreement. Executive expressly acknowledges that Company has not made any representation about the tax consequences of any consideration, including any extended exercise period, provided by Company to Executive pursuant to this Agreement; and that Company has advised Executive to seek independent tax advice with respect to any tax matters related to this Agreement. Executive understands and acknowledges that, pursuant to the tax rules governing incentive stock options, any extension of the exercise period applicable to incentive stock options held by Executive may immediately cause such options to cease to qualify as incentive stock options and by executing this Agreement, Executive agrees to such treatment.</w:t>
      </w:r>
    </w:p>
    <w:p>
      <w:pPr>
        <w:spacing w:after="0" w:line="163" w:lineRule="exact"/>
        <w:rPr>
          <w:rFonts w:ascii="Arial" w:cs="Arial" w:eastAsia="Arial" w:hAnsi="Arial"/>
          <w:sz w:val="18"/>
          <w:szCs w:val="18"/>
          <w:b w:val="1"/>
          <w:bCs w:val="1"/>
          <w:color w:val="auto"/>
        </w:rPr>
      </w:pPr>
    </w:p>
    <w:p>
      <w:pPr>
        <w:jc w:val="both"/>
        <w:ind w:firstLine="656"/>
        <w:spacing w:after="0" w:line="262" w:lineRule="auto"/>
        <w:tabs>
          <w:tab w:leader="none" w:pos="1084" w:val="left"/>
        </w:tabs>
        <w:numPr>
          <w:ilvl w:val="1"/>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Modification/Waiver. </w:t>
      </w:r>
      <w:r>
        <w:rPr>
          <w:rFonts w:ascii="Arial" w:cs="Arial" w:eastAsia="Arial" w:hAnsi="Arial"/>
          <w:sz w:val="19"/>
          <w:szCs w:val="19"/>
          <w:color w:val="auto"/>
        </w:rPr>
        <w:t>This Agreement may not be amended, modified, superseded, canceled, renewed or extended, or any terms</w:t>
      </w:r>
      <w:r>
        <w:rPr>
          <w:rFonts w:ascii="Arial" w:cs="Arial" w:eastAsia="Arial" w:hAnsi="Arial"/>
          <w:sz w:val="19"/>
          <w:szCs w:val="19"/>
          <w:b w:val="1"/>
          <w:bCs w:val="1"/>
          <w:color w:val="auto"/>
        </w:rPr>
        <w:t xml:space="preserve"> </w:t>
      </w:r>
      <w:r>
        <w:rPr>
          <w:rFonts w:ascii="Arial" w:cs="Arial" w:eastAsia="Arial" w:hAnsi="Arial"/>
          <w:sz w:val="19"/>
          <w:szCs w:val="19"/>
          <w:color w:val="auto"/>
        </w:rPr>
        <w:t>or covenants hereof waived, except by a writing executed by Executive and for Company by a duly authorized Board member; or, in the case of a waiver, by the Party waiving compliance. Failure of any Party at any time to require performance of any provision hereof shall not affect the Party’s right at a later time to enforce such provision. No waiver by a Party of a breach of this Agreement shall be deemed to be a waiver of any other breach of any term or condition contained in the Agreement.</w:t>
      </w:r>
    </w:p>
    <w:p>
      <w:pPr>
        <w:spacing w:after="0" w:line="171" w:lineRule="exact"/>
        <w:rPr>
          <w:rFonts w:ascii="Arial" w:cs="Arial" w:eastAsia="Arial" w:hAnsi="Arial"/>
          <w:sz w:val="19"/>
          <w:szCs w:val="19"/>
          <w:b w:val="1"/>
          <w:bCs w:val="1"/>
          <w:color w:val="auto"/>
        </w:rPr>
      </w:pPr>
    </w:p>
    <w:p>
      <w:pPr>
        <w:jc w:val="both"/>
        <w:ind w:firstLine="656"/>
        <w:spacing w:after="0" w:line="253" w:lineRule="auto"/>
        <w:tabs>
          <w:tab w:leader="none" w:pos="1088" w:val="left"/>
        </w:tabs>
        <w:numPr>
          <w:ilvl w:val="1"/>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Successors and Assigns. </w:t>
      </w:r>
      <w:r>
        <w:rPr>
          <w:rFonts w:ascii="Arial" w:cs="Arial" w:eastAsia="Arial" w:hAnsi="Arial"/>
          <w:sz w:val="20"/>
          <w:szCs w:val="20"/>
          <w:color w:val="auto"/>
        </w:rPr>
        <w:t>This Agreement may be assigned by Company to an affiliated entity of the Company with or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consent. This Agreement shall be assigned by the Company to any successor of the Company. This Agreement shall not be assignable by Executive.</w:t>
      </w:r>
    </w:p>
    <w:p>
      <w:pPr>
        <w:spacing w:after="0" w:line="177" w:lineRule="exact"/>
        <w:rPr>
          <w:rFonts w:ascii="Arial" w:cs="Arial" w:eastAsia="Arial" w:hAnsi="Arial"/>
          <w:sz w:val="20"/>
          <w:szCs w:val="20"/>
          <w:b w:val="1"/>
          <w:bCs w:val="1"/>
          <w:color w:val="auto"/>
        </w:rPr>
      </w:pPr>
    </w:p>
    <w:p>
      <w:pPr>
        <w:ind w:firstLine="656"/>
        <w:spacing w:after="0" w:line="267" w:lineRule="auto"/>
        <w:tabs>
          <w:tab w:leader="none" w:pos="1070" w:val="left"/>
        </w:tabs>
        <w:numPr>
          <w:ilvl w:val="1"/>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to be given hereunder shall be in writing and shall be deemed to have been duly given on: the date personally</w:t>
      </w:r>
      <w:r>
        <w:rPr>
          <w:rFonts w:ascii="Arial" w:cs="Arial" w:eastAsia="Arial" w:hAnsi="Arial"/>
          <w:sz w:val="20"/>
          <w:szCs w:val="20"/>
          <w:b w:val="1"/>
          <w:bCs w:val="1"/>
          <w:color w:val="auto"/>
        </w:rPr>
        <w:t xml:space="preserve"> </w:t>
      </w:r>
      <w:r>
        <w:rPr>
          <w:rFonts w:ascii="Arial" w:cs="Arial" w:eastAsia="Arial" w:hAnsi="Arial"/>
          <w:sz w:val="20"/>
          <w:szCs w:val="20"/>
          <w:color w:val="auto"/>
        </w:rPr>
        <w:t>or hand delivered; one (1) day after being sent by internationally-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66" w:right="239" w:bottom="1440" w:gutter="0" w:footer="0" w:header="0"/>
        </w:sectPr>
      </w:pPr>
    </w:p>
    <w:bookmarkStart w:id="51" w:name="page52"/>
    <w:bookmarkEnd w:id="51"/>
    <w:p>
      <w:pPr>
        <w:jc w:val="both"/>
        <w:spacing w:after="0" w:line="246" w:lineRule="auto"/>
        <w:rPr>
          <w:sz w:val="20"/>
          <w:szCs w:val="20"/>
          <w:color w:val="auto"/>
        </w:rPr>
      </w:pPr>
      <w:r>
        <w:rPr>
          <w:rFonts w:ascii="Arial" w:cs="Arial" w:eastAsia="Arial" w:hAnsi="Arial"/>
          <w:sz w:val="20"/>
          <w:szCs w:val="20"/>
          <w:color w:val="auto"/>
        </w:rPr>
        <w:t>recognized overnight delivery courier; and three (3) days after being sent by certified mail, return receipt requested. Notices mailed to Executive shall be sent to Executive’s last home address as reflected in Company’s personnel records. Executive shall promptly notify Company of any change in Executive’s address. Notices to Company shall be directed to the Chair of the Board and shall be mailed to Company’s headquarters.</w:t>
      </w:r>
    </w:p>
    <w:p>
      <w:pPr>
        <w:spacing w:after="0" w:line="186" w:lineRule="exact"/>
        <w:rPr>
          <w:sz w:val="20"/>
          <w:szCs w:val="20"/>
          <w:color w:val="auto"/>
        </w:rPr>
      </w:pPr>
    </w:p>
    <w:p>
      <w:pPr>
        <w:jc w:val="both"/>
        <w:ind w:firstLine="656"/>
        <w:spacing w:after="0" w:line="269" w:lineRule="auto"/>
        <w:tabs>
          <w:tab w:leader="none" w:pos="1183"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To aid in the rapid and economical resolution of any disputes that may arise between Executive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the Parties agree that any and all disputes, claims, or demands arising from or relating to this Agreement (including but not limited to the Confidential Information Agreement incorporated by reference herein), Executive’s employment relationship with Company, or the termination of that relationship (including statutory claims), shall be resolved, to the fullest extent permitted by law, by final, binding and confidential arbitration in San Francisco, California conducted by JAMS, Inc. (“JAMS”) or its successor, before a single neutral arbitrator, under the then applicable JAMS Arbitration Rules and Procedures for Employment Disputes (available at http://www.jamsadr.com/rules-employment-arbitration/) and subject to JAMS’ Policy on Employment Arbitration Minimum Standards of Procedural Fairness. </w:t>
      </w:r>
      <w:r>
        <w:rPr>
          <w:rFonts w:ascii="Arial" w:cs="Arial" w:eastAsia="Arial" w:hAnsi="Arial"/>
          <w:sz w:val="18"/>
          <w:szCs w:val="18"/>
          <w:b w:val="1"/>
          <w:bCs w:val="1"/>
          <w:color w:val="auto"/>
        </w:rPr>
        <w:t>The Parties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acknowledge that by agreeing to this arbitration procedure, they waive the right to resolve any such dispute, claim or demand through a trial by jury or judge or by administrative proceeding. </w:t>
      </w:r>
      <w:r>
        <w:rPr>
          <w:rFonts w:ascii="Arial" w:cs="Arial" w:eastAsia="Arial" w:hAnsi="Arial"/>
          <w:sz w:val="18"/>
          <w:szCs w:val="18"/>
          <w:color w:val="auto"/>
        </w:rPr>
        <w:t>The arbitrator shall: (a) have authority to compel adequate discovery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dispute and to award such relief as would otherwise be available under applicable law in a court proceeding; (b) issue a written statement signed by the arbitrator regarding the disposition of each claim and the relief, if any, awarded as to each claim, the reasons for the award, and the arbitrator’s essential findings and conclusions on which the award is based; and (c) have authority to decide questions regarding the enforceability, interpretation, scope, applicability, or coverage of this Agreement (including whether an issue is subject to arbitration under this Agreement). Company shall pay all JAMS’ arbitration fees. Executive will have the right to be represented by legal counsel at any arbitration proceeding, at Executive’s expense. The arbitrator may award reasonable attorney’s fees, costs, and expenses to the prevailing party in any arbitration (as reasonably determined by the arbitrator), in addition to any other relief to which the prevailing party may be entitled. Nothing in this Agreement is intended to prevent either Party from obtaining injunctive relief in a court of applicable jurisdiction to prevent irreparable harm pending the conclusion of any arbitration; or from enforcing any arbitration award in a court of applicable jurisdiction.</w:t>
      </w:r>
    </w:p>
    <w:p>
      <w:pPr>
        <w:spacing w:after="0" w:line="172" w:lineRule="exact"/>
        <w:rPr>
          <w:rFonts w:ascii="Arial" w:cs="Arial" w:eastAsia="Arial" w:hAnsi="Arial"/>
          <w:sz w:val="18"/>
          <w:szCs w:val="18"/>
          <w:b w:val="1"/>
          <w:bCs w:val="1"/>
          <w:color w:val="auto"/>
        </w:rPr>
      </w:pPr>
    </w:p>
    <w:p>
      <w:pPr>
        <w:jc w:val="both"/>
        <w:ind w:firstLine="656"/>
        <w:spacing w:after="0" w:line="260" w:lineRule="auto"/>
        <w:tabs>
          <w:tab w:leader="none" w:pos="1067"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w:t>
      </w:r>
      <w:r>
        <w:rPr>
          <w:rFonts w:ascii="Arial" w:cs="Arial" w:eastAsia="Arial" w:hAnsi="Arial"/>
          <w:sz w:val="19"/>
          <w:szCs w:val="19"/>
          <w:color w:val="auto"/>
        </w:rPr>
        <w:t>. In addition to any rights to indemnification to which Executive may be entitled under Company’s Charter and</w:t>
      </w:r>
      <w:r>
        <w:rPr>
          <w:rFonts w:ascii="Arial" w:cs="Arial" w:eastAsia="Arial" w:hAnsi="Arial"/>
          <w:sz w:val="19"/>
          <w:szCs w:val="19"/>
          <w:b w:val="1"/>
          <w:bCs w:val="1"/>
          <w:color w:val="auto"/>
        </w:rPr>
        <w:t xml:space="preserve"> </w:t>
      </w:r>
      <w:r>
        <w:rPr>
          <w:rFonts w:ascii="Arial" w:cs="Arial" w:eastAsia="Arial" w:hAnsi="Arial"/>
          <w:sz w:val="19"/>
          <w:szCs w:val="19"/>
          <w:color w:val="auto"/>
        </w:rPr>
        <w:t>By-Laws, Company shall indemnify, defend and provide Director and Officer liability insurance coverage to Executive at all times during and after Executive’s employment to the maximum extent permitted by applicable state laws and such insurance policies to cover Executive’s liability and expenses related to Executive’s acts and omissions within the course and scope of employment with Company, and shall pay Executive’s expenses in defending any civil or criminal action, suit, or proceeding in advance of the final disposition of such action, suit, or proceeding, to the maximum extent permitted under such applicable state laws.</w:t>
      </w:r>
    </w:p>
    <w:p>
      <w:pPr>
        <w:spacing w:after="0" w:line="173" w:lineRule="exact"/>
        <w:rPr>
          <w:rFonts w:ascii="Arial" w:cs="Arial" w:eastAsia="Arial" w:hAnsi="Arial"/>
          <w:sz w:val="19"/>
          <w:szCs w:val="19"/>
          <w:b w:val="1"/>
          <w:bCs w:val="1"/>
          <w:color w:val="auto"/>
        </w:rPr>
      </w:pPr>
    </w:p>
    <w:p>
      <w:pPr>
        <w:jc w:val="both"/>
        <w:ind w:firstLine="656"/>
        <w:spacing w:after="0" w:line="257" w:lineRule="auto"/>
        <w:tabs>
          <w:tab w:leader="none" w:pos="1275"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This Agreement, together with the Exhibits, sets forth the complete and exclusive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with regard to the subject matter hereof, and supersedes any and all prior or contemporaneous agreements, promises, representations, or communications, written or oral, pertaining to the subject matter hereof (including, but not limited to, the Prior CIC Agreement and any other communications between the Parties regarding benefits in the event of a change in control of Company); provided, however, that this Agreement and its Exhibits do not supersede any prior Performance Unit Plan agreements or any other equity agreements or plans. If any provision of this Agreement is determined to be invalid or unenforceable, in whole or in part, this determination will not affect any other provision of this Agreement, and the invalid or unenforceable provision shall be modified to render it valid and enforceable consistent with the intent of the parties insofar as possible under applicable law. For purposes of construing this Agreement, any ambiguities shall not be construed against any party as the drafter. This Agreement may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66" w:right="239" w:bottom="1440" w:gutter="0" w:footer="0" w:header="0"/>
        </w:sectPr>
      </w:pPr>
    </w:p>
    <w:bookmarkStart w:id="52" w:name="page53"/>
    <w:bookmarkEnd w:id="52"/>
    <w:p>
      <w:pPr>
        <w:jc w:val="both"/>
        <w:spacing w:after="0" w:line="250" w:lineRule="auto"/>
        <w:rPr>
          <w:sz w:val="20"/>
          <w:szCs w:val="20"/>
          <w:color w:val="auto"/>
        </w:rPr>
      </w:pPr>
      <w:r>
        <w:rPr>
          <w:rFonts w:ascii="Arial" w:cs="Arial" w:eastAsia="Arial" w:hAnsi="Arial"/>
          <w:sz w:val="20"/>
          <w:szCs w:val="20"/>
          <w:color w:val="auto"/>
        </w:rPr>
        <w:t>be executed in counterparts, which shall be deemed to be part of one original, and facsimile signatures shall be equivalent to original signatures. The validity, interpretation, construction and performance of this Agreement shall be governed by the laws of the State of California, without regard to conflict of laws principles.</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each duly executed this Agreement as of the date written below to indicate their</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and acceptance of all of the above-stated terms and conditions.</w:t>
      </w:r>
    </w:p>
    <w:p>
      <w:pPr>
        <w:spacing w:after="0" w:line="16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THE COOPER COMPANIES, INC.</w:t>
      </w:r>
    </w:p>
    <w:p>
      <w:pPr>
        <w:spacing w:after="0" w:line="200" w:lineRule="exact"/>
        <w:rPr>
          <w:sz w:val="20"/>
          <w:szCs w:val="20"/>
          <w:color w:val="auto"/>
        </w:rPr>
      </w:pPr>
    </w:p>
    <w:p>
      <w:pPr>
        <w:spacing w:after="0" w:line="227"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9"/>
              </w:rPr>
              <w:t>/s Randal L. Golden</w:t>
            </w:r>
          </w:p>
        </w:tc>
        <w:tc>
          <w:tcPr>
            <w:tcW w:w="1780" w:type="dxa"/>
            <w:vAlign w:val="bottom"/>
          </w:tcPr>
          <w:p>
            <w:pPr>
              <w:spacing w:after="0"/>
              <w:rPr>
                <w:sz w:val="19"/>
                <w:szCs w:val="19"/>
                <w:color w:val="auto"/>
              </w:rPr>
            </w:pPr>
          </w:p>
        </w:tc>
      </w:tr>
      <w:tr>
        <w:trPr>
          <w:trHeight w:val="254"/>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3560" w:type="dxa"/>
            <w:vAlign w:val="bottom"/>
            <w:gridSpan w:val="3"/>
          </w:tcPr>
          <w:p>
            <w:pPr>
              <w:spacing w:after="0"/>
              <w:rPr>
                <w:sz w:val="20"/>
                <w:szCs w:val="20"/>
                <w:color w:val="auto"/>
              </w:rPr>
            </w:pPr>
            <w:r>
              <w:rPr>
                <w:rFonts w:ascii="Arial" w:cs="Arial" w:eastAsia="Arial" w:hAnsi="Arial"/>
                <w:sz w:val="20"/>
                <w:szCs w:val="20"/>
                <w:color w:val="auto"/>
                <w:w w:val="88"/>
              </w:rPr>
              <w:t>Vice President, General Counsel &amp; Secretary</w:t>
            </w:r>
          </w:p>
        </w:tc>
      </w:tr>
      <w:tr>
        <w:trPr>
          <w:trHeight w:val="415"/>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1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April 17, 2019</w:t>
            </w:r>
          </w:p>
        </w:tc>
        <w:tc>
          <w:tcPr>
            <w:tcW w:w="220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63"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1210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094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Albert G. White III</w:t>
      </w:r>
    </w:p>
    <w:p>
      <w:pPr>
        <w:spacing w:after="0" w:line="200" w:lineRule="exact"/>
        <w:rPr>
          <w:sz w:val="20"/>
          <w:szCs w:val="20"/>
          <w:color w:val="auto"/>
        </w:rPr>
      </w:pPr>
    </w:p>
    <w:p>
      <w:pPr>
        <w:spacing w:after="0" w:line="229"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April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-14605</wp:posOffset>
            </wp:positionV>
            <wp:extent cx="857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6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 CONFIDENTIAL INFORMATION AND INVENTION ASSIGNMENT AGREEMENT</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In consideration of my employment or continued employment by </w:t>
      </w:r>
      <w:r>
        <w:rPr>
          <w:rFonts w:ascii="Arial" w:cs="Arial" w:eastAsia="Arial" w:hAnsi="Arial"/>
          <w:sz w:val="22"/>
          <w:szCs w:val="22"/>
          <w:b w:val="1"/>
          <w:bCs w:val="1"/>
          <w:color w:val="auto"/>
        </w:rPr>
        <w:t>THE COOPER COMPANIES, INC. (“</w:t>
      </w:r>
      <w:r>
        <w:rPr>
          <w:rFonts w:ascii="Arial" w:cs="Arial" w:eastAsia="Arial" w:hAnsi="Arial"/>
          <w:sz w:val="22"/>
          <w:szCs w:val="22"/>
          <w:b w:val="1"/>
          <w:bCs w:val="1"/>
          <w:i w:val="1"/>
          <w:iCs w:val="1"/>
          <w:color w:val="auto"/>
        </w:rPr>
        <w:t>Employer</w:t>
      </w:r>
      <w:r>
        <w:rPr>
          <w:rFonts w:ascii="Arial" w:cs="Arial" w:eastAsia="Arial" w:hAnsi="Arial"/>
          <w:sz w:val="22"/>
          <w:szCs w:val="22"/>
          <w:b w:val="1"/>
          <w:bCs w:val="1"/>
          <w:color w:val="auto"/>
        </w:rPr>
        <w:t>”)</w:t>
      </w:r>
      <w:r>
        <w:rPr>
          <w:rFonts w:ascii="Arial" w:cs="Arial" w:eastAsia="Arial" w:hAnsi="Arial"/>
          <w:sz w:val="22"/>
          <w:szCs w:val="22"/>
          <w:color w:val="auto"/>
        </w:rPr>
        <w:t>, and its subsidiaries, parents, affiliates, successors and assigns (together with Employer,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compensation paid to me now and during my employment with Company, I hereby enter into this Employee Confidential Information and Invention Assignment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agree as follows:</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20"/>
          <w:szCs w:val="20"/>
          <w:b w:val="1"/>
          <w:bCs w:val="1"/>
          <w:color w:val="auto"/>
        </w:rPr>
      </w:pPr>
      <w:r>
        <w:rPr>
          <w:rFonts w:ascii="Arial" w:cs="Arial" w:eastAsia="Arial" w:hAnsi="Arial"/>
          <w:sz w:val="22"/>
          <w:szCs w:val="22"/>
          <w:b w:val="1"/>
          <w:bCs w:val="1"/>
          <w:color w:val="auto"/>
        </w:rPr>
        <w:t>Confidential Information Protections</w:t>
      </w:r>
      <w:r>
        <w:rPr>
          <w:rFonts w:ascii="Arial" w:cs="Arial" w:eastAsia="Arial" w:hAnsi="Arial"/>
          <w:sz w:val="22"/>
          <w:szCs w:val="22"/>
          <w:color w:val="auto"/>
        </w:rPr>
        <w:t>.</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1"/>
          <w:szCs w:val="21"/>
          <w:b w:val="1"/>
          <w:bCs w:val="1"/>
          <w:color w:val="auto"/>
        </w:rPr>
        <w:t>Recognition of Company’s Rights; Nondisclosure</w:t>
      </w:r>
      <w:r>
        <w:rPr>
          <w:rFonts w:ascii="Arial" w:cs="Arial" w:eastAsia="Arial" w:hAnsi="Arial"/>
          <w:sz w:val="21"/>
          <w:szCs w:val="21"/>
          <w:color w:val="auto"/>
        </w:rPr>
        <w:t>. I understand and acknowledge that my employment by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creates a relationship of confidence and trust with respect to Company’s Confidential Information (as defined below) and that Company has a protectable interest therein. At all times during and after my employment, I will hold in confidence and will not disclose, use, lecture upon, or publish any of Company’s Confidential Information, except as such disclosure, use or publication may be required in connection with my work for Company, or unless an officer of Company expressly authorizes such disclosure, provided, however, that I will obtain Company’s written approval before publishing or submitting for publication any material (written, oral, or otherwise) that discloses and/or incorporates any Confidential Information. I hereby assign to Company any rights I may have or acquire in any Confidential Information and acknowledge and agree that all Confidential Information will be the sole and exclusive property of Company and its assigns. I will take all reasonable precautions to prevent the disclosure of Confidential Information. Notwithstanding the foregoing, pursuant to 18 U.S.C. Section 1833(b), I will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pacing w:after="0" w:line="282"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any and all confidential knowledge, data or</w:t>
      </w:r>
      <w:r>
        <w:rPr>
          <w:rFonts w:ascii="Arial" w:cs="Arial" w:eastAsia="Arial" w:hAnsi="Arial"/>
          <w:sz w:val="18"/>
          <w:szCs w:val="18"/>
          <w:b w:val="1"/>
          <w:bCs w:val="1"/>
          <w:color w:val="auto"/>
        </w:rPr>
        <w:t xml:space="preserve"> </w:t>
      </w:r>
      <w:r>
        <w:rPr>
          <w:rFonts w:ascii="Arial" w:cs="Arial" w:eastAsia="Arial" w:hAnsi="Arial"/>
          <w:sz w:val="19"/>
          <w:szCs w:val="19"/>
          <w:color w:val="auto"/>
        </w:rPr>
        <w:t>information of Company. By way of illustration but not limitation, Confidential Information includes (a) trade secrets, inventions, mask works, ideas, processes, formulas, software in source or object code, data, programs, writings, works of authorship, technology, know-how, improvements, discoveries, developments, designs and techniques and any other work product of any nature whatsoever and all Intellectual Property Rights in all of the foregoing (as defined below) therein (collectively, “</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w:t>
      </w:r>
    </w:p>
    <w:p>
      <w:pPr>
        <w:jc w:val="both"/>
        <w:ind w:firstLine="8"/>
        <w:spacing w:after="0" w:line="287" w:lineRule="auto"/>
        <w:tabs>
          <w:tab w:leader="none" w:pos="331"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information regarding research, development, new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 methods of conducting Company business, suppliers and supplier information, and purchasing; (c) information regarding customers and potential customers of Company, including customer lists, names, representatives, their needs or desires with respect to the types of products or services offered by Company, proposals, bids, contracts and their contents and parties, the type and quantity of products and services provided or sought to be provided to customers and potential customers of</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60" w:right="239" w:bottom="1440" w:gutter="0" w:footer="0" w:header="0"/>
        </w:sectPr>
      </w:pPr>
    </w:p>
    <w:bookmarkStart w:id="54" w:name="page55"/>
    <w:bookmarkEnd w:id="54"/>
    <w:p>
      <w:pPr>
        <w:jc w:val="both"/>
        <w:spacing w:after="0" w:line="286" w:lineRule="auto"/>
        <w:rPr>
          <w:sz w:val="20"/>
          <w:szCs w:val="20"/>
          <w:color w:val="auto"/>
        </w:rPr>
      </w:pPr>
      <w:r>
        <w:rPr>
          <w:rFonts w:ascii="Arial" w:cs="Arial" w:eastAsia="Arial" w:hAnsi="Arial"/>
          <w:sz w:val="19"/>
          <w:szCs w:val="19"/>
          <w:color w:val="auto"/>
        </w:rPr>
        <w:t>Company and other non-public information relating to customers and potential customers; (d) information regarding any of Company’s business partners and their services, including names, representatives, proposals, bids, contracts and their contents and parties, the type and quantity of products and services received by Company, and other non-public information relating to business partners; (e) information regarding personnel, employee lists, compensation, and employee skills; and (f) any other non-public information which a competitor of Company could use to the competitive disadvantage of Company. Furthermore, I acknowledge and agree that all Company Inventions (as defined in Section 2.1) are deemed Confidential Information of Company. Notwithstanding the foregoing, it is understood that, at all times, I am free to use information which was known to me prior to my employment with Company or which is, or becomes, generally known in the trade or industry through no breach of this Agreement or any other act or omission by me. Notwithstanding anything to the contrary in this Agreement or any other agreement between the Company and me, nothing in this Agreement will limit my right to discuss my employment or report possible violations of law or regulation with the Equal Employment Opportunity Commission, United States Department of Labor, the National Labor Relations Board, the Securities and Exchange Commission, or other federal government agency or similar state or local agency or to discuss the terms and conditions of my employment with others to the extent expressly permitted by Section 7 of the National Labor Relations Act or to the extent that such disclosure is protected under the applicable provisions of law or regulation, including but not limited to “whistleblower” statutes or other similar provisions that protect such disclosure</w:t>
      </w:r>
    </w:p>
    <w:p>
      <w:pPr>
        <w:spacing w:after="0" w:line="46"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1"/>
          <w:szCs w:val="21"/>
          <w:b w:val="1"/>
          <w:bCs w:val="1"/>
          <w:color w:val="auto"/>
        </w:rPr>
        <w:t>Third Party Information</w:t>
      </w:r>
      <w:r>
        <w:rPr>
          <w:rFonts w:ascii="Arial" w:cs="Arial" w:eastAsia="Arial" w:hAnsi="Arial"/>
          <w:sz w:val="21"/>
          <w:szCs w:val="21"/>
          <w:color w:val="auto"/>
        </w:rPr>
        <w:t>. I understand, in addition, that Company has received and in the future will receive from third</w:t>
      </w:r>
      <w:r>
        <w:rPr>
          <w:rFonts w:ascii="Arial" w:cs="Arial" w:eastAsia="Arial" w:hAnsi="Arial"/>
          <w:sz w:val="20"/>
          <w:szCs w:val="20"/>
          <w:b w:val="1"/>
          <w:bCs w:val="1"/>
          <w:color w:val="auto"/>
        </w:rPr>
        <w:t xml:space="preserve"> </w:t>
      </w:r>
      <w:r>
        <w:rPr>
          <w:rFonts w:ascii="Arial" w:cs="Arial" w:eastAsia="Arial" w:hAnsi="Arial"/>
          <w:sz w:val="21"/>
          <w:szCs w:val="21"/>
          <w:color w:val="auto"/>
        </w:rPr>
        <w:t>parties their confidential and/or proprietary knowledge, data or information (</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Third Party Information</w:t>
      </w:r>
      <w:r>
        <w:rPr>
          <w:rFonts w:ascii="Arial" w:cs="Arial" w:eastAsia="Arial" w:hAnsi="Arial"/>
          <w:sz w:val="21"/>
          <w:szCs w:val="21"/>
          <w:b w:val="1"/>
          <w:bCs w:val="1"/>
          <w:color w:val="auto"/>
        </w:rPr>
        <w:t>”</w:t>
      </w:r>
      <w:r>
        <w:rPr>
          <w:rFonts w:ascii="Arial" w:cs="Arial" w:eastAsia="Arial" w:hAnsi="Arial"/>
          <w:sz w:val="21"/>
          <w:szCs w:val="21"/>
          <w:color w:val="auto"/>
        </w:rPr>
        <w:t>) subject to a duty on Company’s part to maintain the confidentiality of such information and to use it only for certain limited purposes. During the term of my employment and thereafter, I will hold Third Party Information in confidence and will not disclose to anyone (other than Company personnel who need to know such information in connection with their work for Company) or use Third Party Information, in each case except in connection with my work for Company, or as otherwise expressly authorized by an officer of Company in writing.</w:t>
      </w:r>
    </w:p>
    <w:p>
      <w:pPr>
        <w:spacing w:after="0" w:line="65"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1"/>
          <w:szCs w:val="21"/>
          <w:b w:val="1"/>
          <w:bCs w:val="1"/>
          <w:color w:val="auto"/>
        </w:rPr>
        <w:t>Term of Nondisclosure Restrictions</w:t>
      </w:r>
      <w:r>
        <w:rPr>
          <w:rFonts w:ascii="Arial" w:cs="Arial" w:eastAsia="Arial" w:hAnsi="Arial"/>
          <w:sz w:val="21"/>
          <w:szCs w:val="21"/>
          <w:color w:val="auto"/>
        </w:rPr>
        <w:t>. I understand that Confidential Information and Third Party Information is only to</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be used or disclosed by me as provided in this Section 1. If a temporal limitation on my obligation not to use or disclose such information is required under applicable law, and the Agreement or its restriction(s) cannot otherwise be enforced, I agree and Company agrees that the two year period after the date my employment ends will be the temporal limitation relevant to the contested restriction; </w:t>
      </w:r>
      <w:r>
        <w:rPr>
          <w:rFonts w:ascii="Arial" w:cs="Arial" w:eastAsia="Arial" w:hAnsi="Arial"/>
          <w:sz w:val="21"/>
          <w:szCs w:val="21"/>
          <w:b w:val="1"/>
          <w:bCs w:val="1"/>
          <w:i w:val="1"/>
          <w:iCs w:val="1"/>
          <w:color w:val="auto"/>
        </w:rPr>
        <w:t>provided, however</w:t>
      </w:r>
      <w:r>
        <w:rPr>
          <w:rFonts w:ascii="Arial" w:cs="Arial" w:eastAsia="Arial" w:hAnsi="Arial"/>
          <w:sz w:val="21"/>
          <w:szCs w:val="21"/>
          <w:b w:val="1"/>
          <w:bCs w:val="1"/>
          <w:color w:val="auto"/>
        </w:rPr>
        <w:t>,</w:t>
      </w:r>
      <w:r>
        <w:rPr>
          <w:rFonts w:ascii="Arial" w:cs="Arial" w:eastAsia="Arial" w:hAnsi="Arial"/>
          <w:sz w:val="21"/>
          <w:szCs w:val="21"/>
          <w:color w:val="auto"/>
        </w:rPr>
        <w:t xml:space="preserve"> that this sentence will not apply to trade secrets protected without temporal limitation under applicable law.</w:t>
      </w:r>
    </w:p>
    <w:p>
      <w:pPr>
        <w:spacing w:after="0" w:line="6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1"/>
          <w:szCs w:val="21"/>
          <w:b w:val="1"/>
          <w:bCs w:val="1"/>
          <w:color w:val="auto"/>
        </w:rPr>
        <w:t>No Improper Use of Information of Prior Employers and Others</w:t>
      </w:r>
      <w:r>
        <w:rPr>
          <w:rFonts w:ascii="Arial" w:cs="Arial" w:eastAsia="Arial" w:hAnsi="Arial"/>
          <w:sz w:val="21"/>
          <w:szCs w:val="21"/>
          <w:color w:val="auto"/>
        </w:rPr>
        <w:t>. During my employment by Company, I will not</w:t>
      </w:r>
      <w:r>
        <w:rPr>
          <w:rFonts w:ascii="Arial" w:cs="Arial" w:eastAsia="Arial" w:hAnsi="Arial"/>
          <w:sz w:val="20"/>
          <w:szCs w:val="20"/>
          <w:b w:val="1"/>
          <w:bCs w:val="1"/>
          <w:color w:val="auto"/>
        </w:rPr>
        <w:t xml:space="preserve"> </w:t>
      </w:r>
      <w:r>
        <w:rPr>
          <w:rFonts w:ascii="Arial" w:cs="Arial" w:eastAsia="Arial" w:hAnsi="Arial"/>
          <w:sz w:val="21"/>
          <w:szCs w:val="21"/>
          <w:color w:val="auto"/>
        </w:rPr>
        <w:t>improperly use or disclose confidential information or trade secrets, if any, of any former employer or any other person to whom I have an obligation of confidentiality, and I will not bring onto the premises of Company any unpublished documents or any property belonging to any former employer or any other person to whom I have an obligation of confidentiality unless consented to in writing by that former employer or person.</w:t>
      </w:r>
    </w:p>
    <w:p>
      <w:pPr>
        <w:spacing w:after="0" w:line="56"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20"/>
          <w:szCs w:val="20"/>
          <w:b w:val="1"/>
          <w:bCs w:val="1"/>
          <w:color w:val="auto"/>
        </w:rPr>
      </w:pPr>
      <w:r>
        <w:rPr>
          <w:rFonts w:ascii="Arial" w:cs="Arial" w:eastAsia="Arial" w:hAnsi="Arial"/>
          <w:sz w:val="22"/>
          <w:szCs w:val="22"/>
          <w:b w:val="1"/>
          <w:bCs w:val="1"/>
          <w:color w:val="auto"/>
        </w:rPr>
        <w:t>Assignments of Inventions</w:t>
      </w:r>
      <w:r>
        <w:rPr>
          <w:rFonts w:ascii="Arial" w:cs="Arial" w:eastAsia="Arial" w:hAnsi="Arial"/>
          <w:sz w:val="22"/>
          <w:szCs w:val="22"/>
          <w:color w:val="auto"/>
        </w:rPr>
        <w:t>.</w:t>
      </w:r>
    </w:p>
    <w:p>
      <w:pPr>
        <w:spacing w:after="0" w:line="125" w:lineRule="exact"/>
        <w:rPr>
          <w:sz w:val="20"/>
          <w:szCs w:val="20"/>
          <w:color w:val="auto"/>
        </w:rPr>
      </w:pPr>
    </w:p>
    <w:p>
      <w:pPr>
        <w:ind w:firstLine="392"/>
        <w:spacing w:after="0" w:line="307" w:lineRule="auto"/>
        <w:rPr>
          <w:sz w:val="20"/>
          <w:szCs w:val="20"/>
          <w:color w:val="auto"/>
        </w:rPr>
      </w:pPr>
      <w:r>
        <w:rPr>
          <w:rFonts w:ascii="Arial" w:cs="Arial" w:eastAsia="Arial" w:hAnsi="Arial"/>
          <w:sz w:val="20"/>
          <w:szCs w:val="20"/>
          <w:b w:val="1"/>
          <w:bCs w:val="1"/>
          <w:color w:val="auto"/>
        </w:rPr>
        <w:t xml:space="preserve">2.1 </w:t>
      </w:r>
      <w:r>
        <w:rPr>
          <w:rFonts w:ascii="Arial" w:cs="Arial" w:eastAsia="Arial" w:hAnsi="Arial"/>
          <w:sz w:val="21"/>
          <w:szCs w:val="21"/>
          <w:b w:val="1"/>
          <w:bCs w:val="1"/>
          <w:color w:val="auto"/>
        </w:rPr>
        <w:t>Definitions</w:t>
      </w:r>
      <w:r>
        <w:rPr>
          <w:rFonts w:ascii="Arial" w:cs="Arial" w:eastAsia="Arial" w:hAnsi="Arial"/>
          <w:sz w:val="21"/>
          <w:szCs w:val="21"/>
          <w:color w:val="auto"/>
        </w:rPr>
        <w:t>. As used in this Agreement, the term (a)</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Intellectual Property Rights</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means all past, present and future</w:t>
      </w:r>
      <w:r>
        <w:rPr>
          <w:rFonts w:ascii="Arial" w:cs="Arial" w:eastAsia="Arial" w:hAnsi="Arial"/>
          <w:sz w:val="20"/>
          <w:szCs w:val="20"/>
          <w:b w:val="1"/>
          <w:bCs w:val="1"/>
          <w:color w:val="auto"/>
        </w:rPr>
        <w:t xml:space="preserve"> </w:t>
      </w:r>
      <w:r>
        <w:rPr>
          <w:rFonts w:ascii="Arial" w:cs="Arial" w:eastAsia="Arial" w:hAnsi="Arial"/>
          <w:sz w:val="21"/>
          <w:szCs w:val="21"/>
          <w:color w:val="auto"/>
        </w:rPr>
        <w:t>rights of the following types, which may exist or be created under the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75" w:right="239" w:bottom="1440" w:gutter="0" w:footer="0" w:header="0"/>
        </w:sectPr>
      </w:pPr>
    </w:p>
    <w:bookmarkStart w:id="55" w:name="page56"/>
    <w:bookmarkEnd w:id="55"/>
    <w:p>
      <w:pPr>
        <w:jc w:val="both"/>
        <w:spacing w:after="0" w:line="286" w:lineRule="auto"/>
        <w:rPr>
          <w:sz w:val="20"/>
          <w:szCs w:val="20"/>
          <w:color w:val="auto"/>
        </w:rPr>
      </w:pPr>
      <w:r>
        <w:rPr>
          <w:rFonts w:ascii="Arial" w:cs="Arial" w:eastAsia="Arial" w:hAnsi="Arial"/>
          <w:sz w:val="19"/>
          <w:szCs w:val="19"/>
          <w:color w:val="auto"/>
        </w:rPr>
        <w:t>laws of any jurisdiction in the world: trade secrets, Copyrights, trademark and trade name rights, mask work rights, patents and industrial property, and all proprietary rights in technology or works of authorized; (b) “</w:t>
      </w:r>
      <w:r>
        <w:rPr>
          <w:rFonts w:ascii="Arial" w:cs="Arial" w:eastAsia="Arial" w:hAnsi="Arial"/>
          <w:sz w:val="19"/>
          <w:szCs w:val="19"/>
          <w:b w:val="1"/>
          <w:bCs w:val="1"/>
          <w:i w:val="1"/>
          <w:iCs w:val="1"/>
          <w:color w:val="auto"/>
        </w:rPr>
        <w:t>Copyright</w:t>
      </w:r>
      <w:r>
        <w:rPr>
          <w:rFonts w:ascii="Arial" w:cs="Arial" w:eastAsia="Arial" w:hAnsi="Arial"/>
          <w:sz w:val="19"/>
          <w:szCs w:val="19"/>
          <w:color w:val="auto"/>
        </w:rPr>
        <w:t>” means the exclusive legal right to reproduce, perform, display, distribute and make derivative works of a work of authorship (as a literary, musical, or artistic work) recognized by the laws of any jurisdiction or country; (c) “</w:t>
      </w:r>
      <w:r>
        <w:rPr>
          <w:rFonts w:ascii="Arial" w:cs="Arial" w:eastAsia="Arial" w:hAnsi="Arial"/>
          <w:sz w:val="19"/>
          <w:szCs w:val="19"/>
          <w:b w:val="1"/>
          <w:bCs w:val="1"/>
          <w:i w:val="1"/>
          <w:iCs w:val="1"/>
          <w:color w:val="auto"/>
        </w:rPr>
        <w:t>Moral Rights</w:t>
      </w:r>
      <w:r>
        <w:rPr>
          <w:rFonts w:ascii="Arial" w:cs="Arial" w:eastAsia="Arial" w:hAnsi="Arial"/>
          <w:sz w:val="19"/>
          <w:szCs w:val="19"/>
          <w:color w:val="auto"/>
        </w:rPr>
        <w:t>” means all paternity, integrity, disclosure, withdrawal, special and any other similar rights recognized by the laws of any jurisdiction or country; (d) “</w:t>
      </w:r>
      <w:r>
        <w:rPr>
          <w:rFonts w:ascii="Arial" w:cs="Arial" w:eastAsia="Arial" w:hAnsi="Arial"/>
          <w:sz w:val="19"/>
          <w:szCs w:val="19"/>
          <w:b w:val="1"/>
          <w:bCs w:val="1"/>
          <w:i w:val="1"/>
          <w:iCs w:val="1"/>
          <w:color w:val="auto"/>
        </w:rPr>
        <w:t>Company Inventions</w:t>
      </w:r>
      <w:r>
        <w:rPr>
          <w:rFonts w:ascii="Arial" w:cs="Arial" w:eastAsia="Arial" w:hAnsi="Arial"/>
          <w:sz w:val="19"/>
          <w:szCs w:val="19"/>
          <w:color w:val="auto"/>
        </w:rPr>
        <w:t>” means any and all Inventions (and all Intellectual Property Rights with respect thereto) that are made, conceived, prepared, produced, authored, edited, amended, reduced to practice, or learned by me, either alone or with others, during the period of my employment by Company, and all printed, physical, and electronic copies, all improvements, rights, and claims related to the foregoing, and other tangible embodiments thereof; and (e) “</w:t>
      </w:r>
      <w:r>
        <w:rPr>
          <w:rFonts w:ascii="Arial" w:cs="Arial" w:eastAsia="Arial" w:hAnsi="Arial"/>
          <w:sz w:val="19"/>
          <w:szCs w:val="19"/>
          <w:b w:val="1"/>
          <w:bCs w:val="1"/>
          <w:i w:val="1"/>
          <w:iCs w:val="1"/>
          <w:color w:val="auto"/>
        </w:rPr>
        <w:t>Nonassignable Inventions</w:t>
      </w:r>
      <w:r>
        <w:rPr>
          <w:rFonts w:ascii="Arial" w:cs="Arial" w:eastAsia="Arial" w:hAnsi="Arial"/>
          <w:sz w:val="19"/>
          <w:szCs w:val="19"/>
          <w:color w:val="auto"/>
        </w:rPr>
        <w:t>” means any Inventions that I develop entirely on my own time without using any of Company’s equipment, supplies, facilities, or trade secret information, except for those Inventions that either: (i) relate at the time of conception or reduction to practice of the Invention to Company’s business, or actual or demonstrably anticipated research or development of Company; (ii) result from any work performed by me for Company; or (iii) are covered by a contract between Company and the United States or any of its agencies that requires full title to such patent or Invention to be in the United States.</w:t>
      </w:r>
    </w:p>
    <w:p>
      <w:pPr>
        <w:spacing w:after="0" w:line="310"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Prior Inventions</w:t>
      </w:r>
      <w:r>
        <w:rPr>
          <w:rFonts w:ascii="Arial" w:cs="Arial" w:eastAsia="Arial" w:hAnsi="Arial"/>
          <w:sz w:val="19"/>
          <w:szCs w:val="19"/>
          <w:color w:val="auto"/>
        </w:rPr>
        <w:t>.</w:t>
      </w:r>
    </w:p>
    <w:p>
      <w:pPr>
        <w:spacing w:after="0" w:line="148" w:lineRule="exact"/>
        <w:rPr>
          <w:sz w:val="20"/>
          <w:szCs w:val="20"/>
          <w:color w:val="auto"/>
        </w:rPr>
      </w:pPr>
    </w:p>
    <w:p>
      <w:pPr>
        <w:jc w:val="both"/>
        <w:ind w:firstLine="1305"/>
        <w:spacing w:after="0" w:line="256" w:lineRule="auto"/>
        <w:tabs>
          <w:tab w:leader="none" w:pos="1748" w:val="left"/>
        </w:tabs>
        <w:numPr>
          <w:ilvl w:val="0"/>
          <w:numId w:val="48"/>
        </w:numPr>
        <w:rPr>
          <w:rFonts w:ascii="Arial" w:cs="Arial" w:eastAsia="Arial" w:hAnsi="Arial"/>
          <w:sz w:val="20"/>
          <w:szCs w:val="20"/>
          <w:b w:val="1"/>
          <w:bCs w:val="1"/>
          <w:color w:val="auto"/>
        </w:rPr>
      </w:pPr>
      <w:r>
        <w:rPr>
          <w:rFonts w:ascii="Arial" w:cs="Arial" w:eastAsia="Arial" w:hAnsi="Arial"/>
          <w:sz w:val="22"/>
          <w:szCs w:val="22"/>
          <w:color w:val="auto"/>
        </w:rPr>
        <w:t xml:space="preserve">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is a list describing all Inventions, if any, that (a) are owned by me or in which I have an interest and that were made or acquired by me prior to my date of first employment by Company, and (b) are not to be assigned to Company (“</w:t>
      </w:r>
      <w:r>
        <w:rPr>
          <w:rFonts w:ascii="Arial" w:cs="Arial" w:eastAsia="Arial" w:hAnsi="Arial"/>
          <w:sz w:val="22"/>
          <w:szCs w:val="22"/>
          <w:b w:val="1"/>
          <w:bCs w:val="1"/>
          <w:i w:val="1"/>
          <w:iCs w:val="1"/>
          <w:color w:val="auto"/>
        </w:rPr>
        <w:t>Prior Inventions</w:t>
      </w:r>
      <w:r>
        <w:rPr>
          <w:rFonts w:ascii="Arial" w:cs="Arial" w:eastAsia="Arial" w:hAnsi="Arial"/>
          <w:sz w:val="22"/>
          <w:szCs w:val="22"/>
          <w:color w:val="auto"/>
        </w:rPr>
        <w:t>”). If no such list is attached, I represent and warrant that no Inventions that would be classified as Prior Inventions exist as of the date of this Agreement.</w:t>
      </w:r>
    </w:p>
    <w:p>
      <w:pPr>
        <w:spacing w:after="0" w:line="182" w:lineRule="exact"/>
        <w:rPr>
          <w:rFonts w:ascii="Arial" w:cs="Arial" w:eastAsia="Arial" w:hAnsi="Arial"/>
          <w:sz w:val="20"/>
          <w:szCs w:val="20"/>
          <w:b w:val="1"/>
          <w:bCs w:val="1"/>
          <w:color w:val="auto"/>
        </w:rPr>
      </w:pPr>
    </w:p>
    <w:p>
      <w:pPr>
        <w:jc w:val="both"/>
        <w:ind w:firstLine="1305"/>
        <w:spacing w:after="0" w:line="258" w:lineRule="auto"/>
        <w:tabs>
          <w:tab w:leader="none" w:pos="1732" w:val="left"/>
        </w:tabs>
        <w:numPr>
          <w:ilvl w:val="0"/>
          <w:numId w:val="48"/>
        </w:numPr>
        <w:rPr>
          <w:rFonts w:ascii="Arial" w:cs="Arial" w:eastAsia="Arial" w:hAnsi="Arial"/>
          <w:sz w:val="19"/>
          <w:szCs w:val="19"/>
          <w:b w:val="1"/>
          <w:bCs w:val="1"/>
          <w:color w:val="auto"/>
        </w:rPr>
      </w:pPr>
      <w:r>
        <w:rPr>
          <w:rFonts w:ascii="Arial" w:cs="Arial" w:eastAsia="Arial" w:hAnsi="Arial"/>
          <w:sz w:val="21"/>
          <w:szCs w:val="21"/>
          <w:color w:val="auto"/>
        </w:rPr>
        <w:t>I acknowledge and agree that if I use any Prior Inventions and/or Nonassignable Inventions in the scope of my employment, or if I include any Prior Inventions or Nonassignable Inventions in any product or service of Company, or if my rights in any Prior Inventions or any Nonassignable Inventions may block or interfere with, or may otherwise be required for, the exercise by Company of any rights assigned to Company under this Agreement (each, a “</w:t>
      </w:r>
      <w:r>
        <w:rPr>
          <w:rFonts w:ascii="Arial" w:cs="Arial" w:eastAsia="Arial" w:hAnsi="Arial"/>
          <w:sz w:val="21"/>
          <w:szCs w:val="21"/>
          <w:b w:val="1"/>
          <w:bCs w:val="1"/>
          <w:i w:val="1"/>
          <w:iCs w:val="1"/>
          <w:color w:val="auto"/>
        </w:rPr>
        <w:t>License Event</w:t>
      </w:r>
      <w:r>
        <w:rPr>
          <w:rFonts w:ascii="Arial" w:cs="Arial" w:eastAsia="Arial" w:hAnsi="Arial"/>
          <w:sz w:val="21"/>
          <w:szCs w:val="21"/>
          <w:color w:val="auto"/>
        </w:rPr>
        <w:t>”), I will immediately so notify Company in writing. Unless Company and I agree otherwise in writing as to particular Prior Inventions or Nonassignable Invention, I hereby grant to Company, (whether or not I give Company notice as required above), a non-exclusive, perpetual, transferable,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Prior Inventions and Nonassignable Inventions, provided that the foregoing license shall only apply in connection with a License Event. To the extent that any third parties have any rights in or to any Prior Inventions or any Nonassignable Inventions, I hereby represent and warrant that such third party or parties have validly and irrevocably granted to me the right to grant the license stated above.</w:t>
      </w:r>
    </w:p>
    <w:p>
      <w:pPr>
        <w:spacing w:after="0" w:line="185"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1"/>
          <w:szCs w:val="21"/>
          <w:b w:val="1"/>
          <w:bCs w:val="1"/>
          <w:color w:val="auto"/>
        </w:rPr>
        <w:t>Assignment of Company Inventions</w:t>
      </w:r>
      <w:r>
        <w:rPr>
          <w:rFonts w:ascii="Arial" w:cs="Arial" w:eastAsia="Arial" w:hAnsi="Arial"/>
          <w:sz w:val="21"/>
          <w:szCs w:val="21"/>
          <w:color w:val="auto"/>
        </w:rPr>
        <w:t>. Except for Nonassignable Inventions, I hereby assign to Employer all my right,</w:t>
      </w:r>
      <w:r>
        <w:rPr>
          <w:rFonts w:ascii="Arial" w:cs="Arial" w:eastAsia="Arial" w:hAnsi="Arial"/>
          <w:sz w:val="20"/>
          <w:szCs w:val="20"/>
          <w:b w:val="1"/>
          <w:bCs w:val="1"/>
          <w:color w:val="auto"/>
        </w:rPr>
        <w:t xml:space="preserve"> </w:t>
      </w:r>
      <w:r>
        <w:rPr>
          <w:rFonts w:ascii="Arial" w:cs="Arial" w:eastAsia="Arial" w:hAnsi="Arial"/>
          <w:sz w:val="21"/>
          <w:szCs w:val="21"/>
          <w:color w:val="auto"/>
        </w:rPr>
        <w:t>title, and interest in and to any and all Company Inventions and all Intellectual Property Rights related thereto. Any assignment of Company Inventions (and all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75" w:right="239" w:bottom="1440" w:gutter="0" w:footer="0" w:header="0"/>
        </w:sectPr>
      </w:pPr>
    </w:p>
    <w:bookmarkStart w:id="56" w:name="page57"/>
    <w:bookmarkEnd w:id="56"/>
    <w:p>
      <w:pPr>
        <w:jc w:val="both"/>
        <w:spacing w:after="0" w:line="246" w:lineRule="auto"/>
        <w:rPr>
          <w:sz w:val="20"/>
          <w:szCs w:val="20"/>
          <w:color w:val="auto"/>
        </w:rPr>
      </w:pPr>
      <w:r>
        <w:rPr>
          <w:rFonts w:ascii="Arial" w:cs="Arial" w:eastAsia="Arial" w:hAnsi="Arial"/>
          <w:sz w:val="22"/>
          <w:szCs w:val="22"/>
          <w:color w:val="auto"/>
        </w:rPr>
        <w:t>Intellectual Property Rights with respect thereto) hereunder includes an assignment of all Moral Rights. To the extent such Moral Rights cannot be assigned to Employer and to the extent the following is allowed by the laws in any country where Moral Rights exist, I hereby unconditionally and irrevocably waive the enforcement of such Moral Rights, and all claims and causes of action of any kind against Employer or related to Employer’s customers, with respect to such rights. I further acknowledge and agree that neither my successors-in-interest nor legal heirs retain any Moral Rights in any Company Inventions (and any Intellectual Property Rights with respect thereto). Nothing contained in this Agreement shall be construed to reduce or limit Company’s rights, title, or interest in any Company Inventions so as to be less in any respect than that Company would have had in the absence of this Agreement.</w:t>
      </w:r>
    </w:p>
    <w:p>
      <w:pPr>
        <w:spacing w:after="0" w:line="135"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1"/>
          <w:szCs w:val="21"/>
          <w:b w:val="1"/>
          <w:bCs w:val="1"/>
          <w:color w:val="auto"/>
        </w:rPr>
        <w:t>Nonassignable Inventions</w:t>
      </w:r>
      <w:r>
        <w:rPr>
          <w:rFonts w:ascii="Arial" w:cs="Arial" w:eastAsia="Arial" w:hAnsi="Arial"/>
          <w:sz w:val="21"/>
          <w:szCs w:val="21"/>
          <w:color w:val="auto"/>
        </w:rPr>
        <w:t>. I acknowledge that, in accordance with California Labor Code section 2870(a), nothing in</w:t>
      </w:r>
      <w:r>
        <w:rPr>
          <w:rFonts w:ascii="Arial" w:cs="Arial" w:eastAsia="Arial" w:hAnsi="Arial"/>
          <w:sz w:val="20"/>
          <w:szCs w:val="20"/>
          <w:b w:val="1"/>
          <w:bCs w:val="1"/>
          <w:color w:val="auto"/>
        </w:rPr>
        <w:t xml:space="preserve"> </w:t>
      </w:r>
      <w:r>
        <w:rPr>
          <w:rFonts w:ascii="Arial" w:cs="Arial" w:eastAsia="Arial" w:hAnsi="Arial"/>
          <w:sz w:val="21"/>
          <w:szCs w:val="21"/>
          <w:color w:val="auto"/>
        </w:rPr>
        <w:t>this Agreement shall require me to assign a Nonassignable Invention to Company.</w:t>
      </w:r>
    </w:p>
    <w:p>
      <w:pPr>
        <w:spacing w:after="0" w:line="12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0"/>
          <w:szCs w:val="20"/>
          <w:b w:val="1"/>
          <w:bCs w:val="1"/>
          <w:color w:val="auto"/>
        </w:rPr>
        <w:t xml:space="preserve">2.5 </w:t>
      </w:r>
      <w:r>
        <w:rPr>
          <w:rFonts w:ascii="Arial" w:cs="Arial" w:eastAsia="Arial" w:hAnsi="Arial"/>
          <w:sz w:val="21"/>
          <w:szCs w:val="21"/>
          <w:b w:val="1"/>
          <w:bCs w:val="1"/>
          <w:color w:val="auto"/>
        </w:rPr>
        <w:t>Obligation to Keep Company Informed</w:t>
      </w:r>
      <w:r>
        <w:rPr>
          <w:rFonts w:ascii="Arial" w:cs="Arial" w:eastAsia="Arial" w:hAnsi="Arial"/>
          <w:sz w:val="21"/>
          <w:szCs w:val="21"/>
          <w:color w:val="auto"/>
        </w:rPr>
        <w:t>. During the period of my employment, I will promptly and fully disclose to</w:t>
      </w:r>
      <w:r>
        <w:rPr>
          <w:rFonts w:ascii="Arial" w:cs="Arial" w:eastAsia="Arial" w:hAnsi="Arial"/>
          <w:sz w:val="20"/>
          <w:szCs w:val="20"/>
          <w:b w:val="1"/>
          <w:bCs w:val="1"/>
          <w:color w:val="auto"/>
        </w:rPr>
        <w:t xml:space="preserve"> </w:t>
      </w:r>
      <w:r>
        <w:rPr>
          <w:rFonts w:ascii="Arial" w:cs="Arial" w:eastAsia="Arial" w:hAnsi="Arial"/>
          <w:sz w:val="21"/>
          <w:szCs w:val="21"/>
          <w:color w:val="auto"/>
        </w:rPr>
        <w:t>Company in writing all Inventions authored, conceived, or reduced to practice by me, either alone or jointly with others. At the time of each such disclosure, I will advise Company in writing of any Inventions that constitute Nonassignable Inventions; and I will at that time provide to Company in writing all evidence necessary to substantiate that belief. Company will keep in confidence and will not use for any purpose or disclose to third parties without my consent any confidential information disclosed in writing to Company pursuant to this Agreement relating to such Inventions.</w:t>
      </w:r>
    </w:p>
    <w:p>
      <w:pPr>
        <w:spacing w:after="0" w:line="169"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2.6 </w:t>
      </w:r>
      <w:r>
        <w:rPr>
          <w:rFonts w:ascii="Arial" w:cs="Arial" w:eastAsia="Arial" w:hAnsi="Arial"/>
          <w:sz w:val="21"/>
          <w:szCs w:val="21"/>
          <w:b w:val="1"/>
          <w:bCs w:val="1"/>
          <w:color w:val="auto"/>
        </w:rPr>
        <w:t>Government or Third Party</w:t>
      </w:r>
      <w:r>
        <w:rPr>
          <w:rFonts w:ascii="Arial" w:cs="Arial" w:eastAsia="Arial" w:hAnsi="Arial"/>
          <w:sz w:val="21"/>
          <w:szCs w:val="21"/>
          <w:color w:val="auto"/>
        </w:rPr>
        <w:t>. I agree that, as directed by Company, I will assign to a third party, including without</w:t>
      </w:r>
      <w:r>
        <w:rPr>
          <w:rFonts w:ascii="Arial" w:cs="Arial" w:eastAsia="Arial" w:hAnsi="Arial"/>
          <w:sz w:val="20"/>
          <w:szCs w:val="20"/>
          <w:b w:val="1"/>
          <w:bCs w:val="1"/>
          <w:color w:val="auto"/>
        </w:rPr>
        <w:t xml:space="preserve"> </w:t>
      </w:r>
      <w:r>
        <w:rPr>
          <w:rFonts w:ascii="Arial" w:cs="Arial" w:eastAsia="Arial" w:hAnsi="Arial"/>
          <w:sz w:val="21"/>
          <w:szCs w:val="21"/>
          <w:color w:val="auto"/>
        </w:rPr>
        <w:t>limitation the United States, all my right, title, and interest in and to any particular Company Invention.</w:t>
      </w:r>
    </w:p>
    <w:p>
      <w:pPr>
        <w:spacing w:after="0" w:line="1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2.7 </w:t>
      </w:r>
      <w:r>
        <w:rPr>
          <w:rFonts w:ascii="Arial" w:cs="Arial" w:eastAsia="Arial" w:hAnsi="Arial"/>
          <w:sz w:val="21"/>
          <w:szCs w:val="21"/>
          <w:b w:val="1"/>
          <w:bCs w:val="1"/>
          <w:color w:val="auto"/>
        </w:rPr>
        <w:t>Ownership of Work Product</w:t>
      </w:r>
      <w:r>
        <w:rPr>
          <w:rFonts w:ascii="Arial" w:cs="Arial" w:eastAsia="Arial" w:hAnsi="Arial"/>
          <w:sz w:val="21"/>
          <w:szCs w:val="21"/>
          <w:color w:val="auto"/>
        </w:rPr>
        <w:t>. I acknowledge that all original works of authorship which are made by me (solely or</w:t>
      </w:r>
      <w:r>
        <w:rPr>
          <w:rFonts w:ascii="Arial" w:cs="Arial" w:eastAsia="Arial" w:hAnsi="Arial"/>
          <w:sz w:val="20"/>
          <w:szCs w:val="20"/>
          <w:b w:val="1"/>
          <w:bCs w:val="1"/>
          <w:color w:val="auto"/>
        </w:rPr>
        <w:t xml:space="preserve"> </w:t>
      </w:r>
      <w:r>
        <w:rPr>
          <w:rFonts w:ascii="Arial" w:cs="Arial" w:eastAsia="Arial" w:hAnsi="Arial"/>
          <w:sz w:val="21"/>
          <w:szCs w:val="21"/>
          <w:color w:val="auto"/>
        </w:rPr>
        <w:t>jointly with others) within the scope of my employment and which are protectable by Copyright are “works made for hire,” pursuant to United States Copyright Act (17 U.S.C., Section 101).</w:t>
      </w:r>
    </w:p>
    <w:p>
      <w:pPr>
        <w:spacing w:after="0" w:line="4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20"/>
          <w:szCs w:val="20"/>
          <w:b w:val="1"/>
          <w:bCs w:val="1"/>
          <w:color w:val="auto"/>
        </w:rPr>
        <w:t xml:space="preserve">2.8 </w:t>
      </w:r>
      <w:r>
        <w:rPr>
          <w:rFonts w:ascii="Arial" w:cs="Arial" w:eastAsia="Arial" w:hAnsi="Arial"/>
          <w:sz w:val="21"/>
          <w:szCs w:val="21"/>
          <w:b w:val="1"/>
          <w:bCs w:val="1"/>
          <w:color w:val="auto"/>
        </w:rPr>
        <w:t>Enforcement of Intellectual Property Rights and Assistance</w:t>
      </w:r>
      <w:r>
        <w:rPr>
          <w:rFonts w:ascii="Arial" w:cs="Arial" w:eastAsia="Arial" w:hAnsi="Arial"/>
          <w:sz w:val="21"/>
          <w:szCs w:val="21"/>
          <w:color w:val="auto"/>
        </w:rPr>
        <w:t>. I will assist Company in every proper way to obtain, and</w:t>
      </w:r>
      <w:r>
        <w:rPr>
          <w:rFonts w:ascii="Arial" w:cs="Arial" w:eastAsia="Arial" w:hAnsi="Arial"/>
          <w:sz w:val="20"/>
          <w:szCs w:val="20"/>
          <w:b w:val="1"/>
          <w:bCs w:val="1"/>
          <w:color w:val="auto"/>
        </w:rPr>
        <w:t xml:space="preserve"> </w:t>
      </w:r>
      <w:r>
        <w:rPr>
          <w:rFonts w:ascii="Arial" w:cs="Arial" w:eastAsia="Arial" w:hAnsi="Arial"/>
          <w:sz w:val="21"/>
          <w:szCs w:val="21"/>
          <w:color w:val="auto"/>
        </w:rPr>
        <w:t>from time to time enforce, United States and foreign Intellectual Property Rights and Moral Rights relating to Company Inventions in any and all countries. To that end I will execute, verify and deliver such documents and perform such other acts (including appearances as a witness) as Company may reasonably request for use in applying for, obtaining, perfecting, evidencing, sustaining and enforcing such Intellectual Property Rights and the assignment thereof. In addition, I will execute, verify and deliver assignments of such Intellectual Property Rights to Employer or its designee, including the United States or any third party designated by Employer. My obligation to assist Company with respect to Intellectual Property Rights relating to Company Inventions in any and all countries will continue beyond the termination of my employment, but Company will compensate me at a reasonable rate after such termination for the time actually spent by me at Company’s request on such assistance. In the event Company is unable for any reason, after reasonable effort, to secure my signature on any document needed in connection with the actions specified in this paragraph, I hereby irrevocably designate and appoint Employer and its duly authorized officers and agents as my agent and attorney in fact, which appointment is coupled with an interest, to act for and on my behalf to execute, verify and file any such documents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75" w:right="239" w:bottom="1440" w:gutter="0" w:footer="0" w:header="0"/>
        </w:sectPr>
      </w:pPr>
    </w:p>
    <w:bookmarkStart w:id="57" w:name="page58"/>
    <w:bookmarkEnd w:id="57"/>
    <w:p>
      <w:pPr>
        <w:jc w:val="both"/>
        <w:spacing w:after="0" w:line="312" w:lineRule="auto"/>
        <w:rPr>
          <w:sz w:val="20"/>
          <w:szCs w:val="20"/>
          <w:color w:val="auto"/>
        </w:rPr>
      </w:pPr>
      <w:r>
        <w:rPr>
          <w:rFonts w:ascii="Arial" w:cs="Arial" w:eastAsia="Arial" w:hAnsi="Arial"/>
          <w:sz w:val="19"/>
          <w:szCs w:val="19"/>
          <w:color w:val="auto"/>
        </w:rPr>
        <w:t>and to do all other lawfully permitted acts to further the purposes of the preceding paragraph with the same legal force and effect as if executed by me. I hereby waive and quitclaim to Company any and all claims, of any nature whatsoever, which I now or may hereafter have for infringement of any Intellectual Property Rights assigned under this Agreement to Employer.</w:t>
      </w:r>
    </w:p>
    <w:p>
      <w:pPr>
        <w:spacing w:after="0" w:line="20"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2.9 </w:t>
      </w:r>
      <w:r>
        <w:rPr>
          <w:rFonts w:ascii="Arial" w:cs="Arial" w:eastAsia="Arial" w:hAnsi="Arial"/>
          <w:sz w:val="21"/>
          <w:szCs w:val="21"/>
          <w:b w:val="1"/>
          <w:bCs w:val="1"/>
          <w:color w:val="auto"/>
        </w:rPr>
        <w:t>Incorporation of Software Code</w:t>
      </w:r>
      <w:r>
        <w:rPr>
          <w:rFonts w:ascii="Arial" w:cs="Arial" w:eastAsia="Arial" w:hAnsi="Arial"/>
          <w:sz w:val="21"/>
          <w:szCs w:val="21"/>
          <w:color w:val="auto"/>
        </w:rPr>
        <w:t>. I agree that I will not incorporate into any Inventions, including any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 </w:t>
      </w:r>
      <w:r>
        <w:rPr>
          <w:rFonts w:ascii="Arial" w:cs="Arial" w:eastAsia="Arial" w:hAnsi="Arial"/>
          <w:sz w:val="21"/>
          <w:szCs w:val="21"/>
          <w:b w:val="1"/>
          <w:bCs w:val="1"/>
          <w:color w:val="auto"/>
        </w:rPr>
        <w:t>except</w:t>
      </w:r>
      <w:r>
        <w:rPr>
          <w:rFonts w:ascii="Arial" w:cs="Arial" w:eastAsia="Arial" w:hAnsi="Arial"/>
          <w:sz w:val="21"/>
          <w:szCs w:val="21"/>
          <w:color w:val="auto"/>
        </w:rPr>
        <w:t xml:space="preserve"> in strict compliance with Company’s policies regarding the use of such software.</w:t>
      </w:r>
    </w:p>
    <w:p>
      <w:pPr>
        <w:spacing w:after="0" w:line="56" w:lineRule="exact"/>
        <w:rPr>
          <w:sz w:val="20"/>
          <w:szCs w:val="20"/>
          <w:color w:val="auto"/>
        </w:rPr>
      </w:pPr>
    </w:p>
    <w:p>
      <w:pPr>
        <w:jc w:val="both"/>
        <w:ind w:firstLine="8"/>
        <w:spacing w:after="0" w:line="256" w:lineRule="auto"/>
        <w:tabs>
          <w:tab w:leader="none" w:pos="355" w:val="left"/>
        </w:tabs>
        <w:numPr>
          <w:ilvl w:val="0"/>
          <w:numId w:val="49"/>
        </w:numPr>
        <w:rPr>
          <w:rFonts w:ascii="Arial" w:cs="Arial" w:eastAsia="Arial" w:hAnsi="Arial"/>
          <w:sz w:val="20"/>
          <w:szCs w:val="20"/>
          <w:b w:val="1"/>
          <w:bCs w:val="1"/>
          <w:color w:val="auto"/>
        </w:rPr>
      </w:pPr>
      <w:r>
        <w:rPr>
          <w:rFonts w:ascii="Arial" w:cs="Arial" w:eastAsia="Arial" w:hAnsi="Arial"/>
          <w:sz w:val="22"/>
          <w:szCs w:val="22"/>
          <w:b w:val="1"/>
          <w:bCs w:val="1"/>
          <w:color w:val="auto"/>
        </w:rPr>
        <w:t>Records</w:t>
      </w:r>
      <w:r>
        <w:rPr>
          <w:rFonts w:ascii="Arial" w:cs="Arial" w:eastAsia="Arial" w:hAnsi="Arial"/>
          <w:sz w:val="22"/>
          <w:szCs w:val="22"/>
          <w:color w:val="auto"/>
        </w:rPr>
        <w:t>. I agree to keep and maintain adequate and current records (in the form of notes, sketches, drawings and in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form that is required by Company) of all Confidential Information developed by me and all Company Inventions made by me during the period of my employment at Company, which records will be available to and remain the sole property of Employer at all times.</w:t>
      </w:r>
    </w:p>
    <w:p>
      <w:pPr>
        <w:spacing w:after="0" w:line="176" w:lineRule="exact"/>
        <w:rPr>
          <w:rFonts w:ascii="Arial" w:cs="Arial" w:eastAsia="Arial" w:hAnsi="Arial"/>
          <w:sz w:val="20"/>
          <w:szCs w:val="20"/>
          <w:b w:val="1"/>
          <w:bCs w:val="1"/>
          <w:color w:val="auto"/>
        </w:rPr>
      </w:pPr>
    </w:p>
    <w:p>
      <w:pPr>
        <w:jc w:val="both"/>
        <w:ind w:firstLine="8"/>
        <w:spacing w:after="0" w:line="262" w:lineRule="auto"/>
        <w:tabs>
          <w:tab w:leader="none" w:pos="409" w:val="left"/>
        </w:tabs>
        <w:numPr>
          <w:ilvl w:val="0"/>
          <w:numId w:val="49"/>
        </w:numPr>
        <w:rPr>
          <w:rFonts w:ascii="Arial" w:cs="Arial" w:eastAsia="Arial" w:hAnsi="Arial"/>
          <w:sz w:val="20"/>
          <w:szCs w:val="20"/>
          <w:b w:val="1"/>
          <w:bCs w:val="1"/>
          <w:color w:val="auto"/>
        </w:rPr>
      </w:pPr>
      <w:r>
        <w:rPr>
          <w:rFonts w:ascii="Arial" w:cs="Arial" w:eastAsia="Arial" w:hAnsi="Arial"/>
          <w:sz w:val="22"/>
          <w:szCs w:val="22"/>
          <w:b w:val="1"/>
          <w:bCs w:val="1"/>
          <w:color w:val="auto"/>
        </w:rPr>
        <w:t>Duty of Loyalty During Employment</w:t>
      </w:r>
      <w:r>
        <w:rPr>
          <w:rFonts w:ascii="Arial" w:cs="Arial" w:eastAsia="Arial" w:hAnsi="Arial"/>
          <w:sz w:val="22"/>
          <w:szCs w:val="22"/>
          <w:color w:val="auto"/>
        </w:rPr>
        <w:t>. I agree that during the period of my employment by Company, I will not,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express written consent, directly or indirectly engage in any employment or business activity which is directly or indirectly competitive with, or would otherwise conflict with, my employment by Company.</w:t>
      </w:r>
    </w:p>
    <w:p>
      <w:pPr>
        <w:spacing w:after="0" w:line="62" w:lineRule="exact"/>
        <w:rPr>
          <w:rFonts w:ascii="Arial" w:cs="Arial" w:eastAsia="Arial" w:hAnsi="Arial"/>
          <w:sz w:val="20"/>
          <w:szCs w:val="20"/>
          <w:b w:val="1"/>
          <w:bCs w:val="1"/>
          <w:color w:val="auto"/>
        </w:rPr>
      </w:pPr>
    </w:p>
    <w:p>
      <w:pPr>
        <w:jc w:val="both"/>
        <w:ind w:firstLine="8"/>
        <w:spacing w:after="0" w:line="265" w:lineRule="auto"/>
        <w:tabs>
          <w:tab w:leader="none" w:pos="342" w:val="left"/>
        </w:tabs>
        <w:numPr>
          <w:ilvl w:val="0"/>
          <w:numId w:val="49"/>
        </w:numPr>
        <w:rPr>
          <w:rFonts w:ascii="Arial" w:cs="Arial" w:eastAsia="Arial" w:hAnsi="Arial"/>
          <w:sz w:val="19"/>
          <w:szCs w:val="19"/>
          <w:b w:val="1"/>
          <w:bCs w:val="1"/>
          <w:color w:val="auto"/>
        </w:rPr>
      </w:pPr>
      <w:r>
        <w:rPr>
          <w:rFonts w:ascii="Arial" w:cs="Arial" w:eastAsia="Arial" w:hAnsi="Arial"/>
          <w:sz w:val="21"/>
          <w:szCs w:val="21"/>
          <w:b w:val="1"/>
          <w:bCs w:val="1"/>
          <w:color w:val="auto"/>
        </w:rPr>
        <w:t>No Solicitation of Employees, Consultants or Contractors</w:t>
      </w:r>
      <w:r>
        <w:rPr>
          <w:rFonts w:ascii="Arial" w:cs="Arial" w:eastAsia="Arial" w:hAnsi="Arial"/>
          <w:sz w:val="21"/>
          <w:szCs w:val="21"/>
          <w:color w:val="auto"/>
        </w:rPr>
        <w:t>. I agree that during the period of my employment and for the one</w:t>
      </w:r>
      <w:r>
        <w:rPr>
          <w:rFonts w:ascii="Arial" w:cs="Arial" w:eastAsia="Arial" w:hAnsi="Arial"/>
          <w:sz w:val="21"/>
          <w:szCs w:val="21"/>
          <w:b w:val="1"/>
          <w:bCs w:val="1"/>
          <w:color w:val="auto"/>
        </w:rPr>
        <w:t xml:space="preserve"> </w:t>
      </w:r>
      <w:r>
        <w:rPr>
          <w:rFonts w:ascii="Arial" w:cs="Arial" w:eastAsia="Arial" w:hAnsi="Arial"/>
          <w:sz w:val="21"/>
          <w:szCs w:val="21"/>
          <w:color w:val="auto"/>
        </w:rPr>
        <w:t>year period after the date my employment ends for any reason, including but not limited to voluntary termination by me or involuntary termination by Company, I will not, as an officer, director, employee, consultant, owner, partner, or in any other capacity, either directly or through others, except on behalf of Company, solicit, induce, encourage, or participate in soliciting, inducing or encouraging any person known to me to be an employee, consultant, or independent contractor of Company to terminate his or her relationship with Company, even if I did not initiate the discussion or seek out the contact.</w:t>
      </w:r>
    </w:p>
    <w:p>
      <w:pPr>
        <w:spacing w:after="0" w:line="61" w:lineRule="exact"/>
        <w:rPr>
          <w:rFonts w:ascii="Arial" w:cs="Arial" w:eastAsia="Arial" w:hAnsi="Arial"/>
          <w:sz w:val="19"/>
          <w:szCs w:val="19"/>
          <w:b w:val="1"/>
          <w:bCs w:val="1"/>
          <w:color w:val="auto"/>
        </w:rPr>
      </w:pPr>
    </w:p>
    <w:p>
      <w:pPr>
        <w:ind w:left="340" w:hanging="332"/>
        <w:spacing w:after="0"/>
        <w:tabs>
          <w:tab w:leader="none" w:pos="340" w:val="left"/>
        </w:tabs>
        <w:numPr>
          <w:ilvl w:val="0"/>
          <w:numId w:val="49"/>
        </w:numPr>
        <w:rPr>
          <w:rFonts w:ascii="Arial" w:cs="Arial" w:eastAsia="Arial" w:hAnsi="Arial"/>
          <w:sz w:val="20"/>
          <w:szCs w:val="20"/>
          <w:b w:val="1"/>
          <w:bCs w:val="1"/>
          <w:color w:val="auto"/>
        </w:rPr>
      </w:pPr>
      <w:r>
        <w:rPr>
          <w:rFonts w:ascii="Arial" w:cs="Arial" w:eastAsia="Arial" w:hAnsi="Arial"/>
          <w:sz w:val="22"/>
          <w:szCs w:val="22"/>
          <w:b w:val="1"/>
          <w:bCs w:val="1"/>
          <w:color w:val="auto"/>
        </w:rPr>
        <w:t>Reasonableness of Restrictions</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20"/>
          <w:szCs w:val="20"/>
          <w:color w:val="auto"/>
        </w:rPr>
        <w:t>I agree that I have read this entire Agreement and understand it. I agree that this Agreement does not prevent me from</w:t>
      </w:r>
      <w:r>
        <w:rPr>
          <w:rFonts w:ascii="Arial" w:cs="Arial" w:eastAsia="Arial" w:hAnsi="Arial"/>
          <w:sz w:val="19"/>
          <w:szCs w:val="19"/>
          <w:b w:val="1"/>
          <w:bCs w:val="1"/>
          <w:color w:val="auto"/>
        </w:rPr>
        <w:t xml:space="preserve"> </w:t>
      </w:r>
      <w:r>
        <w:rPr>
          <w:rFonts w:ascii="Arial" w:cs="Arial" w:eastAsia="Arial" w:hAnsi="Arial"/>
          <w:sz w:val="20"/>
          <w:szCs w:val="20"/>
          <w:color w:val="auto"/>
        </w:rPr>
        <w:t>earning a living or pursuing my career. I agree that the restrictions contained in this Agreement are reasonable, proper, and necessitated by Company’s legitimate business interests. I represent and agree that I am entering into this Agreement freely and with knowledge of its contents with the intent to be bound by the Agreement and the restrictions contained in it.</w:t>
      </w:r>
    </w:p>
    <w:p>
      <w:pPr>
        <w:spacing w:after="0" w:line="1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1"/>
          <w:szCs w:val="21"/>
          <w:color w:val="auto"/>
        </w:rPr>
        <w:t>In the event that a court finds this Agreement, or any of its restrictions, to be ambiguous, unenforceable, or invalid, I</w:t>
      </w:r>
      <w:r>
        <w:rPr>
          <w:rFonts w:ascii="Arial" w:cs="Arial" w:eastAsia="Arial" w:hAnsi="Arial"/>
          <w:sz w:val="20"/>
          <w:szCs w:val="20"/>
          <w:b w:val="1"/>
          <w:bCs w:val="1"/>
          <w:color w:val="auto"/>
        </w:rPr>
        <w:t xml:space="preserve"> </w:t>
      </w:r>
      <w:r>
        <w:rPr>
          <w:rFonts w:ascii="Arial" w:cs="Arial" w:eastAsia="Arial" w:hAnsi="Arial"/>
          <w:sz w:val="21"/>
          <w:szCs w:val="21"/>
          <w:color w:val="auto"/>
        </w:rPr>
        <w:t>and Company agree that the court will read the Agreement as a whole and interpret the restriction(s) at issue to be enforceable and valid to the maximum extent allowed by law.</w:t>
      </w:r>
    </w:p>
    <w:p>
      <w:pPr>
        <w:spacing w:after="0" w:line="16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b w:val="1"/>
          <w:bCs w:val="1"/>
          <w:color w:val="auto"/>
        </w:rPr>
        <w:t xml:space="preserve">6.3 </w:t>
      </w:r>
      <w:r>
        <w:rPr>
          <w:rFonts w:ascii="Arial" w:cs="Arial" w:eastAsia="Arial" w:hAnsi="Arial"/>
          <w:sz w:val="21"/>
          <w:szCs w:val="21"/>
          <w:color w:val="auto"/>
        </w:rPr>
        <w:t>If the court declines to enforce this Agreement in the manner provided in subsection 6.2 and/or Section 12.1,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and I agree that this Agreement will be automatically modified to provide Company with the maximum protection of its business interests allowed by law and I agree to be bound by this Agreement as modified.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75" w:right="239" w:bottom="1440" w:gutter="0" w:footer="0" w:header="0"/>
        </w:sectPr>
      </w:pPr>
    </w:p>
    <w:bookmarkStart w:id="58" w:name="page59"/>
    <w:bookmarkEnd w:id="58"/>
    <w:p>
      <w:pPr>
        <w:jc w:val="both"/>
        <w:ind w:firstLine="8"/>
        <w:spacing w:after="0" w:line="256" w:lineRule="auto"/>
        <w:tabs>
          <w:tab w:leader="none" w:pos="436" w:val="left"/>
        </w:tabs>
        <w:numPr>
          <w:ilvl w:val="0"/>
          <w:numId w:val="50"/>
        </w:numPr>
        <w:rPr>
          <w:rFonts w:ascii="Arial" w:cs="Arial" w:eastAsia="Arial" w:hAnsi="Arial"/>
          <w:sz w:val="20"/>
          <w:szCs w:val="20"/>
          <w:b w:val="1"/>
          <w:bCs w:val="1"/>
          <w:color w:val="auto"/>
        </w:rPr>
      </w:pPr>
      <w:r>
        <w:rPr>
          <w:rFonts w:ascii="Arial" w:cs="Arial" w:eastAsia="Arial" w:hAnsi="Arial"/>
          <w:sz w:val="22"/>
          <w:szCs w:val="22"/>
          <w:b w:val="1"/>
          <w:bCs w:val="1"/>
          <w:color w:val="auto"/>
        </w:rPr>
        <w:t>No Conflicting Agreement or Obligation</w:t>
      </w:r>
      <w:r>
        <w:rPr>
          <w:rFonts w:ascii="Arial" w:cs="Arial" w:eastAsia="Arial" w:hAnsi="Arial"/>
          <w:sz w:val="22"/>
          <w:szCs w:val="22"/>
          <w:color w:val="auto"/>
        </w:rPr>
        <w:t>. I represent that my performance of all the terms of this Agreement and as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Company does not and will not breach any agreement to keep in confidence information acquired by me in confidence or in trust prior to my employment by Company. I have not entered into, and I agree I will not enter into, any agreement either written or oral in conflict with this Agreement.</w:t>
      </w:r>
    </w:p>
    <w:p>
      <w:pPr>
        <w:spacing w:after="0" w:line="68" w:lineRule="exact"/>
        <w:rPr>
          <w:rFonts w:ascii="Arial" w:cs="Arial" w:eastAsia="Arial" w:hAnsi="Arial"/>
          <w:sz w:val="20"/>
          <w:szCs w:val="20"/>
          <w:b w:val="1"/>
          <w:bCs w:val="1"/>
          <w:color w:val="auto"/>
        </w:rPr>
      </w:pPr>
    </w:p>
    <w:p>
      <w:pPr>
        <w:jc w:val="both"/>
        <w:ind w:firstLine="8"/>
        <w:spacing w:after="0" w:line="259" w:lineRule="auto"/>
        <w:tabs>
          <w:tab w:leader="none" w:pos="342" w:val="left"/>
        </w:tabs>
        <w:numPr>
          <w:ilvl w:val="0"/>
          <w:numId w:val="50"/>
        </w:numPr>
        <w:rPr>
          <w:rFonts w:ascii="Arial" w:cs="Arial" w:eastAsia="Arial" w:hAnsi="Arial"/>
          <w:sz w:val="19"/>
          <w:szCs w:val="19"/>
          <w:b w:val="1"/>
          <w:bCs w:val="1"/>
          <w:color w:val="auto"/>
        </w:rPr>
      </w:pPr>
      <w:r>
        <w:rPr>
          <w:rFonts w:ascii="Arial" w:cs="Arial" w:eastAsia="Arial" w:hAnsi="Arial"/>
          <w:sz w:val="21"/>
          <w:szCs w:val="21"/>
          <w:b w:val="1"/>
          <w:bCs w:val="1"/>
          <w:color w:val="auto"/>
        </w:rPr>
        <w:t>Return of Company Property</w:t>
      </w:r>
      <w:r>
        <w:rPr>
          <w:rFonts w:ascii="Arial" w:cs="Arial" w:eastAsia="Arial" w:hAnsi="Arial"/>
          <w:sz w:val="21"/>
          <w:szCs w:val="21"/>
          <w:color w:val="auto"/>
        </w:rPr>
        <w:t>. When I leave the employ of Company, I will deliver to Employer any and all drawings, notes,</w:t>
      </w:r>
      <w:r>
        <w:rPr>
          <w:rFonts w:ascii="Arial" w:cs="Arial" w:eastAsia="Arial" w:hAnsi="Arial"/>
          <w:sz w:val="21"/>
          <w:szCs w:val="21"/>
          <w:b w:val="1"/>
          <w:bCs w:val="1"/>
          <w:color w:val="auto"/>
        </w:rPr>
        <w:t xml:space="preserve"> </w:t>
      </w:r>
      <w:r>
        <w:rPr>
          <w:rFonts w:ascii="Arial" w:cs="Arial" w:eastAsia="Arial" w:hAnsi="Arial"/>
          <w:sz w:val="21"/>
          <w:szCs w:val="21"/>
          <w:color w:val="auto"/>
        </w:rPr>
        <w:t>memoranda, specifications, devices, formulas and documents, together with all copies thereof, and any other material containing or disclosing any Company Inventions, Third Party Information or Confidential Information.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Company with a computer-useable copy of all such information and then permanently delete and expunge such information from those systems; and I agree to provide Company access to my system as reasonably requested to verify that the necessary copying and/or deletion is completed. I further agree that any property situated on Company’s premises and owned by Company, including disks and other storage media, filing cabinets or other work areas, is subject to inspection by Company’s personnel at any time with or without notice. Prior to leaving, I will cooperate with Company in attending an exit interview and completing and signing Company’s termination statement if required to do so by Company.</w:t>
      </w:r>
    </w:p>
    <w:p>
      <w:pPr>
        <w:spacing w:after="0" w:line="73" w:lineRule="exact"/>
        <w:rPr>
          <w:rFonts w:ascii="Arial" w:cs="Arial" w:eastAsia="Arial" w:hAnsi="Arial"/>
          <w:sz w:val="19"/>
          <w:szCs w:val="19"/>
          <w:b w:val="1"/>
          <w:bCs w:val="1"/>
          <w:color w:val="auto"/>
        </w:rPr>
      </w:pPr>
    </w:p>
    <w:p>
      <w:pPr>
        <w:ind w:left="340" w:hanging="332"/>
        <w:spacing w:after="0"/>
        <w:tabs>
          <w:tab w:leader="none" w:pos="340" w:val="left"/>
        </w:tabs>
        <w:numPr>
          <w:ilvl w:val="0"/>
          <w:numId w:val="50"/>
        </w:numPr>
        <w:rPr>
          <w:rFonts w:ascii="Arial" w:cs="Arial" w:eastAsia="Arial" w:hAnsi="Arial"/>
          <w:sz w:val="20"/>
          <w:szCs w:val="20"/>
          <w:b w:val="1"/>
          <w:bCs w:val="1"/>
          <w:color w:val="auto"/>
        </w:rPr>
      </w:pPr>
      <w:r>
        <w:rPr>
          <w:rFonts w:ascii="Arial" w:cs="Arial" w:eastAsia="Arial" w:hAnsi="Arial"/>
          <w:sz w:val="22"/>
          <w:szCs w:val="22"/>
          <w:b w:val="1"/>
          <w:bCs w:val="1"/>
          <w:color w:val="auto"/>
        </w:rPr>
        <w:t>Legal and Equitable Remedies</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1"/>
          <w:szCs w:val="21"/>
          <w:color w:val="auto"/>
        </w:rPr>
        <w:t>I agree that it may be impossible to assess the damages caused by my violation of this Agreement or any of its terms. I</w:t>
      </w:r>
      <w:r>
        <w:rPr>
          <w:rFonts w:ascii="Arial" w:cs="Arial" w:eastAsia="Arial" w:hAnsi="Arial"/>
          <w:sz w:val="20"/>
          <w:szCs w:val="20"/>
          <w:b w:val="1"/>
          <w:bCs w:val="1"/>
          <w:color w:val="auto"/>
        </w:rPr>
        <w:t xml:space="preserve"> </w:t>
      </w:r>
      <w:r>
        <w:rPr>
          <w:rFonts w:ascii="Arial" w:cs="Arial" w:eastAsia="Arial" w:hAnsi="Arial"/>
          <w:sz w:val="21"/>
          <w:szCs w:val="21"/>
          <w:color w:val="auto"/>
        </w:rPr>
        <w:t>agree that any threatened or actual violation of this Agreement or any of its terms will constitute immediate and irreparable injury to Company, and Company will have the right to enforce this Agreement and any of its provisions by injunction, specific performance or other equitable relief, without bond and without prejudice to any other rights and remedies that Company may have for a breach or threatened breach of this Agreement.</w:t>
      </w:r>
    </w:p>
    <w:p>
      <w:pPr>
        <w:spacing w:after="0" w:line="1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0"/>
          <w:szCs w:val="20"/>
          <w:b w:val="1"/>
          <w:bCs w:val="1"/>
          <w:color w:val="auto"/>
        </w:rPr>
        <w:t xml:space="preserve">9.2 </w:t>
      </w:r>
      <w:r>
        <w:rPr>
          <w:rFonts w:ascii="Arial" w:cs="Arial" w:eastAsia="Arial" w:hAnsi="Arial"/>
          <w:sz w:val="21"/>
          <w:szCs w:val="21"/>
          <w:color w:val="auto"/>
        </w:rPr>
        <w:t>In the event Company enforces this Agreement through a court order, I agree that the restrictions of Section 5 will</w:t>
      </w:r>
      <w:r>
        <w:rPr>
          <w:rFonts w:ascii="Arial" w:cs="Arial" w:eastAsia="Arial" w:hAnsi="Arial"/>
          <w:sz w:val="20"/>
          <w:szCs w:val="20"/>
          <w:b w:val="1"/>
          <w:bCs w:val="1"/>
          <w:color w:val="auto"/>
        </w:rPr>
        <w:t xml:space="preserve"> </w:t>
      </w:r>
      <w:r>
        <w:rPr>
          <w:rFonts w:ascii="Arial" w:cs="Arial" w:eastAsia="Arial" w:hAnsi="Arial"/>
          <w:sz w:val="21"/>
          <w:szCs w:val="21"/>
          <w:color w:val="auto"/>
        </w:rPr>
        <w:t>remain in effect for a period of 12 months from the effective date of the Order enforcing the Agreement.</w:t>
      </w:r>
    </w:p>
    <w:p>
      <w:pPr>
        <w:spacing w:after="0" w:line="131" w:lineRule="exact"/>
        <w:rPr>
          <w:sz w:val="20"/>
          <w:szCs w:val="20"/>
          <w:color w:val="auto"/>
        </w:rPr>
      </w:pPr>
    </w:p>
    <w:p>
      <w:pPr>
        <w:jc w:val="both"/>
        <w:ind w:firstLine="8"/>
        <w:spacing w:after="0" w:line="298" w:lineRule="auto"/>
        <w:tabs>
          <w:tab w:leader="none" w:pos="441" w:val="left"/>
        </w:tabs>
        <w:numPr>
          <w:ilvl w:val="0"/>
          <w:numId w:val="51"/>
        </w:numPr>
        <w:rPr>
          <w:rFonts w:ascii="Arial" w:cs="Arial" w:eastAsia="Arial" w:hAnsi="Arial"/>
          <w:sz w:val="18"/>
          <w:szCs w:val="18"/>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notices required or permitted under this Agreement will be given to Company at its headquarters location at the</w:t>
      </w:r>
      <w:r>
        <w:rPr>
          <w:rFonts w:ascii="Arial" w:cs="Arial" w:eastAsia="Arial" w:hAnsi="Arial"/>
          <w:sz w:val="19"/>
          <w:szCs w:val="19"/>
          <w:b w:val="1"/>
          <w:bCs w:val="1"/>
          <w:color w:val="auto"/>
        </w:rPr>
        <w:t xml:space="preserve"> </w:t>
      </w:r>
      <w:r>
        <w:rPr>
          <w:rFonts w:ascii="Arial" w:cs="Arial" w:eastAsia="Arial" w:hAnsi="Arial"/>
          <w:sz w:val="19"/>
          <w:szCs w:val="19"/>
          <w:color w:val="auto"/>
        </w:rPr>
        <w:t>time notice is given, labeled “Attention Chief Executive Officer,” and to me at my address as listed on Company payroll, or at such other address as Company or I may designate by written notice to the other. Notice will be effective upon receipt or refusal of delivery. If delivered by certified or registered mail, notice will be considered to have been given five business days after it was mailed, as evidenced by the postmark. If delivered by courier or express mail service, notice will be considered to have been given on the delivery date reflected by the courier or express mail service receipt.</w:t>
      </w:r>
    </w:p>
    <w:p>
      <w:pPr>
        <w:spacing w:after="0" w:line="141" w:lineRule="exact"/>
        <w:rPr>
          <w:rFonts w:ascii="Arial" w:cs="Arial" w:eastAsia="Arial" w:hAnsi="Arial"/>
          <w:sz w:val="18"/>
          <w:szCs w:val="18"/>
          <w:b w:val="1"/>
          <w:bCs w:val="1"/>
          <w:color w:val="auto"/>
        </w:rPr>
      </w:pPr>
    </w:p>
    <w:p>
      <w:pPr>
        <w:ind w:left="420" w:hanging="412"/>
        <w:spacing w:after="0"/>
        <w:tabs>
          <w:tab w:leader="none" w:pos="420" w:val="left"/>
        </w:tabs>
        <w:numPr>
          <w:ilvl w:val="0"/>
          <w:numId w:val="51"/>
        </w:numPr>
        <w:rPr>
          <w:rFonts w:ascii="Arial" w:cs="Arial" w:eastAsia="Arial" w:hAnsi="Arial"/>
          <w:sz w:val="20"/>
          <w:szCs w:val="20"/>
          <w:b w:val="1"/>
          <w:bCs w:val="1"/>
          <w:color w:val="auto"/>
        </w:rPr>
      </w:pPr>
      <w:r>
        <w:rPr>
          <w:rFonts w:ascii="Arial" w:cs="Arial" w:eastAsia="Arial" w:hAnsi="Arial"/>
          <w:sz w:val="22"/>
          <w:szCs w:val="22"/>
          <w:b w:val="1"/>
          <w:bCs w:val="1"/>
          <w:color w:val="auto"/>
        </w:rPr>
        <w:t>Publication of This Agreement to Subsequent Employer or Business Associates of Employee</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b w:val="1"/>
          <w:bCs w:val="1"/>
          <w:color w:val="auto"/>
        </w:rPr>
        <w:t xml:space="preserve">11.1 </w:t>
      </w:r>
      <w:r>
        <w:rPr>
          <w:rFonts w:ascii="Arial" w:cs="Arial" w:eastAsia="Arial" w:hAnsi="Arial"/>
          <w:sz w:val="21"/>
          <w:szCs w:val="21"/>
          <w:color w:val="auto"/>
        </w:rPr>
        <w:t>If I am offered employment or the opportunity to enter into any business venture as owner, partner, consultant or other</w:t>
      </w:r>
      <w:r>
        <w:rPr>
          <w:rFonts w:ascii="Arial" w:cs="Arial" w:eastAsia="Arial" w:hAnsi="Arial"/>
          <w:sz w:val="20"/>
          <w:szCs w:val="20"/>
          <w:b w:val="1"/>
          <w:bCs w:val="1"/>
          <w:color w:val="auto"/>
        </w:rPr>
        <w:t xml:space="preserve"> </w:t>
      </w:r>
      <w:r>
        <w:rPr>
          <w:rFonts w:ascii="Arial" w:cs="Arial" w:eastAsia="Arial" w:hAnsi="Arial"/>
          <w:sz w:val="21"/>
          <w:szCs w:val="21"/>
          <w:color w:val="auto"/>
        </w:rPr>
        <w:t>capacity while the restrictions described in Sections 4 and 5 of this Agreement are in effect I agree to inform my potential employer, partner, co-owner and/or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69" w:right="2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22"/>
          <w:szCs w:val="22"/>
          <w:color w:val="auto"/>
        </w:rPr>
        <w:t>others involved in managing the business with which I have an opportunity to be associated of my obligations under this Agreement and also agree to provide such person or persons with a copy of this Agreement.</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b w:val="1"/>
          <w:bCs w:val="1"/>
          <w:color w:val="auto"/>
        </w:rPr>
        <w:t xml:space="preserve">11.2 </w:t>
      </w:r>
      <w:r>
        <w:rPr>
          <w:rFonts w:ascii="Arial" w:cs="Arial" w:eastAsia="Arial" w:hAnsi="Arial"/>
          <w:sz w:val="21"/>
          <w:szCs w:val="21"/>
          <w:color w:val="auto"/>
        </w:rPr>
        <w:t>I agree to inform Company of all employment and business ventures which I enter into while the restrictions</w:t>
      </w:r>
      <w:r>
        <w:rPr>
          <w:rFonts w:ascii="Arial" w:cs="Arial" w:eastAsia="Arial" w:hAnsi="Arial"/>
          <w:sz w:val="20"/>
          <w:szCs w:val="20"/>
          <w:b w:val="1"/>
          <w:bCs w:val="1"/>
          <w:color w:val="auto"/>
        </w:rPr>
        <w:t xml:space="preserve"> </w:t>
      </w:r>
      <w:r>
        <w:rPr>
          <w:rFonts w:ascii="Arial" w:cs="Arial" w:eastAsia="Arial" w:hAnsi="Arial"/>
          <w:sz w:val="21"/>
          <w:szCs w:val="21"/>
          <w:color w:val="auto"/>
        </w:rPr>
        <w:t>described in Section 5 of this Agreement are in effect and I also authorize Company to provide copies of this Agreement to my employer, partner, co-owner and/or others involved in managing the business with which I am employed or associated and to make such persons aware of my obligations under this Agreement.</w:t>
      </w:r>
    </w:p>
    <w:p>
      <w:pPr>
        <w:spacing w:after="0" w:line="163"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20"/>
          <w:szCs w:val="20"/>
          <w:b w:val="1"/>
          <w:bCs w:val="1"/>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12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20"/>
          <w:szCs w:val="20"/>
          <w:b w:val="1"/>
          <w:bCs w:val="1"/>
          <w:color w:val="auto"/>
        </w:rPr>
        <w:t>Governing Law; Consent to Personal Jurisdiction</w:t>
      </w:r>
      <w:r>
        <w:rPr>
          <w:rFonts w:ascii="Arial" w:cs="Arial" w:eastAsia="Arial" w:hAnsi="Arial"/>
          <w:sz w:val="20"/>
          <w:szCs w:val="20"/>
          <w:color w:val="auto"/>
        </w:rPr>
        <w:t>. This Agreement will be governed by and construed according to</w:t>
      </w:r>
      <w:r>
        <w:rPr>
          <w:rFonts w:ascii="Arial" w:cs="Arial" w:eastAsia="Arial" w:hAnsi="Arial"/>
          <w:sz w:val="19"/>
          <w:szCs w:val="19"/>
          <w:b w:val="1"/>
          <w:bCs w:val="1"/>
          <w:color w:val="auto"/>
        </w:rPr>
        <w:t xml:space="preserve"> </w:t>
      </w:r>
      <w:r>
        <w:rPr>
          <w:rFonts w:ascii="Arial" w:cs="Arial" w:eastAsia="Arial" w:hAnsi="Arial"/>
          <w:sz w:val="20"/>
          <w:szCs w:val="20"/>
          <w:color w:val="auto"/>
        </w:rPr>
        <w:t>the laws of the State of California without regard to any conflict of laws principles that would require the application of the laws of a different jurisdiction. I hereby expressly consent to the personal jurisdiction and venue of the state and federal courts located in California for any lawsuit filed there against me by Company arising from or related to this Agreement.</w:t>
      </w:r>
    </w:p>
    <w:p>
      <w:pPr>
        <w:spacing w:after="0" w:line="3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9"/>
          <w:szCs w:val="19"/>
          <w:b w:val="1"/>
          <w:bCs w:val="1"/>
          <w:color w:val="auto"/>
        </w:rPr>
        <w:t>Severability</w:t>
      </w:r>
      <w:r>
        <w:rPr>
          <w:rFonts w:ascii="Arial" w:cs="Arial" w:eastAsia="Arial" w:hAnsi="Arial"/>
          <w:sz w:val="19"/>
          <w:szCs w:val="19"/>
          <w:color w:val="auto"/>
        </w:rPr>
        <w:t>. In case any one or more of the provisions, subsections, or sentences contained in this Agreement will,</w:t>
      </w:r>
      <w:r>
        <w:rPr>
          <w:rFonts w:ascii="Arial" w:cs="Arial" w:eastAsia="Arial" w:hAnsi="Arial"/>
          <w:sz w:val="18"/>
          <w:szCs w:val="18"/>
          <w:b w:val="1"/>
          <w:bCs w:val="1"/>
          <w:color w:val="auto"/>
        </w:rPr>
        <w:t xml:space="preserve"> </w:t>
      </w:r>
      <w:r>
        <w:rPr>
          <w:rFonts w:ascii="Arial" w:cs="Arial" w:eastAsia="Arial" w:hAnsi="Arial"/>
          <w:sz w:val="19"/>
          <w:szCs w:val="19"/>
          <w:color w:val="auto"/>
        </w:rPr>
        <w:t>for any reason, be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moreover, any one or more of the provisions contained in this Agreement will for any reason be held to be excessively broad as to duration, geographical scope, activity or subject, it will be construed by limiting and reducing it, so as to be enforceable to the extent compatible with the applicable law as it will then appear.</w:t>
      </w:r>
    </w:p>
    <w:p>
      <w:pPr>
        <w:spacing w:after="0" w:line="141"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1"/>
          <w:szCs w:val="21"/>
          <w:b w:val="1"/>
          <w:bCs w:val="1"/>
          <w:color w:val="auto"/>
        </w:rPr>
        <w:t>Successors and Assigns</w:t>
      </w:r>
      <w:r>
        <w:rPr>
          <w:rFonts w:ascii="Arial" w:cs="Arial" w:eastAsia="Arial" w:hAnsi="Arial"/>
          <w:sz w:val="21"/>
          <w:szCs w:val="21"/>
          <w:color w:val="auto"/>
        </w:rPr>
        <w:t>. This Agreement is for my benefit and the benefit of Company and its and their successors,</w:t>
      </w:r>
      <w:r>
        <w:rPr>
          <w:rFonts w:ascii="Arial" w:cs="Arial" w:eastAsia="Arial" w:hAnsi="Arial"/>
          <w:sz w:val="20"/>
          <w:szCs w:val="20"/>
          <w:b w:val="1"/>
          <w:bCs w:val="1"/>
          <w:color w:val="auto"/>
        </w:rPr>
        <w:t xml:space="preserve"> </w:t>
      </w:r>
      <w:r>
        <w:rPr>
          <w:rFonts w:ascii="Arial" w:cs="Arial" w:eastAsia="Arial" w:hAnsi="Arial"/>
          <w:sz w:val="21"/>
          <w:szCs w:val="21"/>
          <w:color w:val="auto"/>
        </w:rPr>
        <w:t>assigns, parent corporations, subsidiaries, affiliates, and purchasers, and will be binding upon my heirs, executors, administrators and other legal representatives.</w:t>
      </w:r>
    </w:p>
    <w:p>
      <w:pPr>
        <w:spacing w:after="0" w:line="43"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1"/>
          <w:szCs w:val="21"/>
          <w:b w:val="1"/>
          <w:bCs w:val="1"/>
          <w:color w:val="auto"/>
        </w:rPr>
        <w:t>Survival</w:t>
      </w:r>
      <w:r>
        <w:rPr>
          <w:rFonts w:ascii="Arial" w:cs="Arial" w:eastAsia="Arial" w:hAnsi="Arial"/>
          <w:sz w:val="21"/>
          <w:szCs w:val="21"/>
          <w:color w:val="auto"/>
        </w:rPr>
        <w:t>. This Agreement will survive the termination of my employment, regardless of the reason, and the assignment</w:t>
      </w:r>
      <w:r>
        <w:rPr>
          <w:rFonts w:ascii="Arial" w:cs="Arial" w:eastAsia="Arial" w:hAnsi="Arial"/>
          <w:sz w:val="20"/>
          <w:szCs w:val="20"/>
          <w:b w:val="1"/>
          <w:bCs w:val="1"/>
          <w:color w:val="auto"/>
        </w:rPr>
        <w:t xml:space="preserve"> </w:t>
      </w:r>
      <w:r>
        <w:rPr>
          <w:rFonts w:ascii="Arial" w:cs="Arial" w:eastAsia="Arial" w:hAnsi="Arial"/>
          <w:sz w:val="21"/>
          <w:szCs w:val="21"/>
          <w:color w:val="auto"/>
        </w:rPr>
        <w:t>of this Agreement by Company to any successor in interest or other assignee.</w:t>
      </w:r>
    </w:p>
    <w:p>
      <w:pPr>
        <w:spacing w:after="0" w:line="1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12.4 </w:t>
      </w:r>
      <w:r>
        <w:rPr>
          <w:rFonts w:ascii="Arial" w:cs="Arial" w:eastAsia="Arial" w:hAnsi="Arial"/>
          <w:sz w:val="21"/>
          <w:szCs w:val="21"/>
          <w:b w:val="1"/>
          <w:bCs w:val="1"/>
          <w:color w:val="auto"/>
        </w:rPr>
        <w:t>Employment At-Will</w:t>
      </w:r>
      <w:r>
        <w:rPr>
          <w:rFonts w:ascii="Arial" w:cs="Arial" w:eastAsia="Arial" w:hAnsi="Arial"/>
          <w:sz w:val="21"/>
          <w:szCs w:val="21"/>
          <w:color w:val="auto"/>
        </w:rPr>
        <w:t>. I agree and understand that nothing in this Agreement will change my at-will employment status</w:t>
      </w:r>
      <w:r>
        <w:rPr>
          <w:rFonts w:ascii="Arial" w:cs="Arial" w:eastAsia="Arial" w:hAnsi="Arial"/>
          <w:sz w:val="20"/>
          <w:szCs w:val="20"/>
          <w:b w:val="1"/>
          <w:bCs w:val="1"/>
          <w:color w:val="auto"/>
        </w:rPr>
        <w:t xml:space="preserve"> </w:t>
      </w:r>
      <w:r>
        <w:rPr>
          <w:rFonts w:ascii="Arial" w:cs="Arial" w:eastAsia="Arial" w:hAnsi="Arial"/>
          <w:sz w:val="21"/>
          <w:szCs w:val="21"/>
          <w:color w:val="auto"/>
        </w:rPr>
        <w:t>or confer any right with respect to continuation of employment by Company, nor will it interfere in any way with my right or Company’s right to terminate my employment at any time, with or without cause or advance notice.</w:t>
      </w:r>
    </w:p>
    <w:p>
      <w:pPr>
        <w:spacing w:after="0" w:line="43"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12.5 </w:t>
      </w:r>
      <w:r>
        <w:rPr>
          <w:rFonts w:ascii="Arial" w:cs="Arial" w:eastAsia="Arial" w:hAnsi="Arial"/>
          <w:sz w:val="21"/>
          <w:szCs w:val="21"/>
          <w:b w:val="1"/>
          <w:bCs w:val="1"/>
          <w:color w:val="auto"/>
        </w:rPr>
        <w:t>Waiver</w:t>
      </w:r>
      <w:r>
        <w:rPr>
          <w:rFonts w:ascii="Arial" w:cs="Arial" w:eastAsia="Arial" w:hAnsi="Arial"/>
          <w:sz w:val="21"/>
          <w:szCs w:val="21"/>
          <w:color w:val="auto"/>
        </w:rPr>
        <w:t>. No waiver by Company of any breach of this Agreement will be a waiver of any preceding or succeeding</w:t>
      </w:r>
      <w:r>
        <w:rPr>
          <w:rFonts w:ascii="Arial" w:cs="Arial" w:eastAsia="Arial" w:hAnsi="Arial"/>
          <w:sz w:val="20"/>
          <w:szCs w:val="20"/>
          <w:b w:val="1"/>
          <w:bCs w:val="1"/>
          <w:color w:val="auto"/>
        </w:rPr>
        <w:t xml:space="preserve"> </w:t>
      </w:r>
      <w:r>
        <w:rPr>
          <w:rFonts w:ascii="Arial" w:cs="Arial" w:eastAsia="Arial" w:hAnsi="Arial"/>
          <w:sz w:val="21"/>
          <w:szCs w:val="21"/>
          <w:color w:val="auto"/>
        </w:rPr>
        <w:t>breach. No waiver by Company of any right under this Agreement will be construed as a waiver of any other right. Company will not be required to give notice to enforce strict adherence to all terms of this Agreement.</w:t>
      </w:r>
    </w:p>
    <w:p>
      <w:pPr>
        <w:spacing w:after="0" w:line="43"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12.6 </w:t>
      </w:r>
      <w:r>
        <w:rPr>
          <w:rFonts w:ascii="Arial" w:cs="Arial" w:eastAsia="Arial" w:hAnsi="Arial"/>
          <w:sz w:val="21"/>
          <w:szCs w:val="21"/>
          <w:b w:val="1"/>
          <w:bCs w:val="1"/>
          <w:color w:val="auto"/>
        </w:rPr>
        <w:t>Export</w:t>
      </w:r>
      <w:r>
        <w:rPr>
          <w:rFonts w:ascii="Arial" w:cs="Arial" w:eastAsia="Arial" w:hAnsi="Arial"/>
          <w:sz w:val="21"/>
          <w:szCs w:val="21"/>
          <w:color w:val="auto"/>
        </w:rPr>
        <w:t>. I agree not to export, reexport, or transfer, directly or indirectly, any U.S. technical data acquired from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or any products utilizing such data, in violation of the United States export laws or regulations.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375" w:right="239" w:bottom="1440" w:gutter="0" w:footer="0" w:header="0"/>
        </w:sectPr>
      </w:pPr>
    </w:p>
    <w:bookmarkStart w:id="60" w:name="page61"/>
    <w:bookmarkEnd w:id="60"/>
    <w:p>
      <w:pPr>
        <w:jc w:val="both"/>
        <w:ind w:firstLine="648"/>
        <w:spacing w:after="0" w:line="268" w:lineRule="auto"/>
        <w:rPr>
          <w:sz w:val="20"/>
          <w:szCs w:val="20"/>
          <w:color w:val="auto"/>
        </w:rPr>
      </w:pPr>
      <w:r>
        <w:rPr>
          <w:rFonts w:ascii="Arial" w:cs="Arial" w:eastAsia="Arial" w:hAnsi="Arial"/>
          <w:sz w:val="20"/>
          <w:szCs w:val="20"/>
          <w:b w:val="1"/>
          <w:bCs w:val="1"/>
          <w:color w:val="auto"/>
        </w:rPr>
        <w:t xml:space="preserve">12.7 </w:t>
      </w: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executed in two or more counterparts, each of which will be deemed an</w:t>
      </w:r>
      <w:r>
        <w:rPr>
          <w:rFonts w:ascii="Arial" w:cs="Arial" w:eastAsia="Arial" w:hAnsi="Arial"/>
          <w:sz w:val="20"/>
          <w:szCs w:val="20"/>
          <w:b w:val="1"/>
          <w:bCs w:val="1"/>
          <w:color w:val="auto"/>
        </w:rPr>
        <w:t xml:space="preserve"> </w:t>
      </w:r>
      <w:r>
        <w:rPr>
          <w:rFonts w:ascii="Arial" w:cs="Arial" w:eastAsia="Arial" w:hAnsi="Arial"/>
          <w:sz w:val="21"/>
          <w:szCs w:val="21"/>
          <w:color w:val="auto"/>
        </w:rPr>
        <w:t>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b w:val="1"/>
          <w:bCs w:val="1"/>
          <w:color w:val="auto"/>
        </w:rPr>
        <w:t xml:space="preserve">12.8 </w:t>
      </w:r>
      <w:r>
        <w:rPr>
          <w:rFonts w:ascii="Arial" w:cs="Arial" w:eastAsia="Arial" w:hAnsi="Arial"/>
          <w:sz w:val="21"/>
          <w:szCs w:val="21"/>
          <w:b w:val="1"/>
          <w:bCs w:val="1"/>
          <w:color w:val="auto"/>
        </w:rPr>
        <w:t>Advice of Counsel. I ACKNOWLEDGE THAT, IN EXECUTING THIS AGREEMENT, I HAVE HAD THE</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OPPORTUNITY TO SEEK THE ADVICE OF INDEPENDENT LEGAL COUNSEL, AND I HAVE READ AND UNDERSTOOD ALL OF THE TERMS AND PROVISIONS OF THIS AGREEMENT. THIS AGREEMENT WILL NOT BE CONSTRUED AGAINST ANY PARTY BY REASON OF THE DRAFTING OR PREPARATION OF THIS AGREEMENT.</w:t>
      </w:r>
    </w:p>
    <w:p>
      <w:pPr>
        <w:spacing w:after="0" w:line="200" w:lineRule="exact"/>
        <w:rPr>
          <w:sz w:val="20"/>
          <w:szCs w:val="20"/>
          <w:color w:val="auto"/>
        </w:rPr>
      </w:pPr>
    </w:p>
    <w:p>
      <w:pPr>
        <w:spacing w:after="0" w:line="230"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20"/>
          <w:szCs w:val="20"/>
          <w:b w:val="1"/>
          <w:bCs w:val="1"/>
          <w:color w:val="auto"/>
        </w:rPr>
        <w:t xml:space="preserve">12.9 </w:t>
      </w:r>
      <w:r>
        <w:rPr>
          <w:rFonts w:ascii="Arial" w:cs="Arial" w:eastAsia="Arial" w:hAnsi="Arial"/>
          <w:sz w:val="21"/>
          <w:szCs w:val="21"/>
          <w:b w:val="1"/>
          <w:bCs w:val="1"/>
          <w:color w:val="auto"/>
        </w:rPr>
        <w:t>Entire Agreement</w:t>
      </w:r>
      <w:r>
        <w:rPr>
          <w:rFonts w:ascii="Arial" w:cs="Arial" w:eastAsia="Arial" w:hAnsi="Arial"/>
          <w:sz w:val="21"/>
          <w:szCs w:val="21"/>
          <w:color w:val="auto"/>
        </w:rPr>
        <w:t>. The obligations pursuant to Sections 1 and 2 (except Subsection 2.4 and Subsection 2.7(a)) of this</w:t>
      </w:r>
      <w:r>
        <w:rPr>
          <w:rFonts w:ascii="Arial" w:cs="Arial" w:eastAsia="Arial" w:hAnsi="Arial"/>
          <w:sz w:val="20"/>
          <w:szCs w:val="20"/>
          <w:b w:val="1"/>
          <w:bCs w:val="1"/>
          <w:color w:val="auto"/>
        </w:rPr>
        <w:t xml:space="preserve"> </w:t>
      </w:r>
      <w:r>
        <w:rPr>
          <w:rFonts w:ascii="Arial" w:cs="Arial" w:eastAsia="Arial" w:hAnsi="Arial"/>
          <w:sz w:val="21"/>
          <w:szCs w:val="21"/>
          <w:color w:val="auto"/>
        </w:rPr>
        <w:t>Agreement will apply to any time during which I was previously engaged, or am in the future engaged, by Company as a consultant if no other agreement governs nondisclosure and assignment of inventions during such period. This Agreement is the final, complete and exclusive agreement of the parties with respect to the subject matter of this Agreement and supersedes and merges all prior discussions between us. No modification of or amendment to this Agreement will be effective unless in writing and signed by the party to be charged. Any subsequent change or changes in my duties, salary or compensation will not affect the validity or scope of this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[signatures to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Agreement will be effective as of </w:t>
      </w:r>
      <w:r>
        <w:rPr>
          <w:rFonts w:ascii="Arial" w:cs="Arial" w:eastAsia="Arial" w:hAnsi="Arial"/>
          <w:sz w:val="22"/>
          <w:szCs w:val="22"/>
          <w:b w:val="1"/>
          <w:bCs w:val="1"/>
          <w:color w:val="auto"/>
        </w:rPr>
        <w:t>April 17, 2019</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w:t>
      </w:r>
    </w:p>
    <w:p>
      <w:pPr>
        <w:spacing w:after="0" w:line="346" w:lineRule="exact"/>
        <w:rPr>
          <w:sz w:val="20"/>
          <w:szCs w:val="20"/>
          <w:color w:val="auto"/>
        </w:rPr>
      </w:pPr>
    </w:p>
    <w:p>
      <w:pPr>
        <w:ind w:left="120" w:right="2280"/>
        <w:spacing w:after="0" w:line="267" w:lineRule="auto"/>
        <w:rPr>
          <w:sz w:val="20"/>
          <w:szCs w:val="20"/>
          <w:color w:val="auto"/>
        </w:rPr>
      </w:pPr>
      <w:r>
        <w:rPr>
          <w:rFonts w:ascii="Arial" w:cs="Arial" w:eastAsia="Arial" w:hAnsi="Arial"/>
          <w:sz w:val="20"/>
          <w:szCs w:val="20"/>
          <w:b w:val="1"/>
          <w:bCs w:val="1"/>
          <w:color w:val="auto"/>
        </w:rPr>
        <w:t>I have read this agreement carefully and understand its terms. I have completely filled out Exhibit A to this Agreement.</w:t>
      </w: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jc w:val="center"/>
        <w:ind w:right="2060"/>
        <w:spacing w:after="0"/>
        <w:rPr>
          <w:sz w:val="20"/>
          <w:szCs w:val="20"/>
          <w:color w:val="auto"/>
        </w:rPr>
      </w:pPr>
      <w:r>
        <w:rPr>
          <w:rFonts w:ascii="Arial" w:cs="Arial" w:eastAsia="Arial" w:hAnsi="Arial"/>
          <w:sz w:val="22"/>
          <w:szCs w:val="22"/>
          <w:color w:val="auto"/>
        </w:rPr>
        <w:t>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jc w:val="center"/>
        <w:ind w:right="2060"/>
        <w:spacing w:after="0"/>
        <w:rPr>
          <w:sz w:val="20"/>
          <w:szCs w:val="20"/>
          <w:color w:val="auto"/>
        </w:rPr>
      </w:pPr>
      <w:r>
        <w:rPr>
          <w:rFonts w:ascii="Arial" w:cs="Arial" w:eastAsia="Arial" w:hAnsi="Arial"/>
          <w:sz w:val="22"/>
          <w:szCs w:val="22"/>
          <w:color w:val="auto"/>
        </w:rPr>
        <w:t>Name</w:t>
      </w:r>
    </w:p>
    <w:p>
      <w:pPr>
        <w:spacing w:after="0" w:line="341" w:lineRule="exact"/>
        <w:rPr>
          <w:sz w:val="20"/>
          <w:szCs w:val="20"/>
          <w:color w:val="auto"/>
        </w:rPr>
      </w:pPr>
    </w:p>
    <w:p>
      <w:pPr>
        <w:jc w:val="center"/>
        <w:ind w:right="2080"/>
        <w:spacing w:after="0"/>
        <w:rPr>
          <w:sz w:val="20"/>
          <w:szCs w:val="20"/>
          <w:color w:val="auto"/>
        </w:rPr>
      </w:pPr>
      <w:r>
        <w:rPr>
          <w:rFonts w:ascii="Arial" w:cs="Arial" w:eastAsia="Arial" w:hAnsi="Arial"/>
          <w:sz w:val="22"/>
          <w:szCs w:val="22"/>
          <w:color w:val="auto"/>
        </w:rPr>
        <w:t>April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jc w:val="center"/>
        <w:ind w:right="20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401955</wp:posOffset>
            </wp:positionV>
            <wp:extent cx="5831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Email: awhite@cooperco.com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Address:______________________________________</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EMPLOYER:</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Cooper Companies, Inc.</w:t>
      </w:r>
    </w:p>
    <w:p>
      <w:pPr>
        <w:spacing w:after="0" w:line="347"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Randal 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24765</wp:posOffset>
            </wp:positionV>
            <wp:extent cx="4690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ectPr>
          <w:pgSz w:w="11900" w:h="16838" w:orient="portrait"/>
          <w:cols w:equalWidth="0" w:num="1">
            <w:col w:w="11420"/>
          </w:cols>
          <w:pgMar w:left="240" w:top="369" w:right="239"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75"/>
        </w:trPr>
        <w:tc>
          <w:tcPr>
            <w:tcW w:w="120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Arial" w:cs="Arial" w:eastAsia="Arial" w:hAnsi="Arial"/>
                <w:sz w:val="22"/>
                <w:szCs w:val="22"/>
                <w:color w:val="auto"/>
              </w:rPr>
              <w:t>Name:</w:t>
            </w:r>
          </w:p>
        </w:tc>
        <w:tc>
          <w:tcPr>
            <w:tcW w:w="6560" w:type="dxa"/>
            <w:vAlign w:val="bottom"/>
            <w:gridSpan w:val="2"/>
          </w:tcPr>
          <w:p>
            <w:pPr>
              <w:ind w:left="240"/>
              <w:spacing w:after="0"/>
              <w:rPr>
                <w:sz w:val="20"/>
                <w:szCs w:val="20"/>
                <w:color w:val="auto"/>
              </w:rPr>
            </w:pPr>
            <w:r>
              <w:rPr>
                <w:rFonts w:ascii="Arial" w:cs="Arial" w:eastAsia="Arial" w:hAnsi="Arial"/>
                <w:sz w:val="22"/>
                <w:szCs w:val="22"/>
                <w:color w:val="auto"/>
              </w:rPr>
              <w:t>Randal L. Golden</w:t>
            </w: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22"/>
                <w:szCs w:val="22"/>
                <w:color w:val="auto"/>
              </w:rPr>
              <w:t>Title:</w:t>
            </w:r>
          </w:p>
        </w:tc>
        <w:tc>
          <w:tcPr>
            <w:tcW w:w="6560" w:type="dxa"/>
            <w:vAlign w:val="bottom"/>
            <w:gridSpan w:val="2"/>
          </w:tcPr>
          <w:p>
            <w:pPr>
              <w:ind w:left="240"/>
              <w:spacing w:after="0"/>
              <w:rPr>
                <w:sz w:val="20"/>
                <w:szCs w:val="20"/>
                <w:color w:val="auto"/>
              </w:rPr>
            </w:pPr>
            <w:r>
              <w:rPr>
                <w:rFonts w:ascii="Arial" w:cs="Arial" w:eastAsia="Arial" w:hAnsi="Arial"/>
                <w:sz w:val="22"/>
                <w:szCs w:val="22"/>
                <w:color w:val="auto"/>
              </w:rPr>
              <w:t>Vice President, General Counsel, &amp; Secretary</w:t>
            </w:r>
          </w:p>
        </w:tc>
        <w:tc>
          <w:tcPr>
            <w:tcW w:w="0" w:type="dxa"/>
            <w:vAlign w:val="bottom"/>
          </w:tcPr>
          <w:p>
            <w:pPr>
              <w:spacing w:after="0"/>
              <w:rPr>
                <w:sz w:val="1"/>
                <w:szCs w:val="1"/>
                <w:color w:val="auto"/>
              </w:rPr>
            </w:pPr>
          </w:p>
        </w:tc>
      </w:tr>
      <w:tr>
        <w:trPr>
          <w:trHeight w:val="605"/>
        </w:trPr>
        <w:tc>
          <w:tcPr>
            <w:tcW w:w="1200" w:type="dxa"/>
            <w:vAlign w:val="bottom"/>
          </w:tcPr>
          <w:p>
            <w:pPr>
              <w:ind w:left="120"/>
              <w:spacing w:after="0"/>
              <w:rPr>
                <w:sz w:val="20"/>
                <w:szCs w:val="20"/>
                <w:color w:val="auto"/>
              </w:rPr>
            </w:pPr>
            <w:r>
              <w:rPr>
                <w:rFonts w:ascii="Arial" w:cs="Arial" w:eastAsia="Arial" w:hAnsi="Arial"/>
                <w:sz w:val="22"/>
                <w:szCs w:val="22"/>
                <w:color w:val="auto"/>
              </w:rPr>
              <w:t>Email:</w:t>
            </w:r>
          </w:p>
        </w:tc>
        <w:tc>
          <w:tcPr>
            <w:tcW w:w="7380" w:type="dxa"/>
            <w:vAlign w:val="bottom"/>
            <w:tcBorders>
              <w:bottom w:val="single" w:sz="8" w:color="auto"/>
            </w:tcBorders>
            <w:gridSpan w:val="4"/>
          </w:tcPr>
          <w:p>
            <w:pPr>
              <w:ind w:left="20"/>
              <w:spacing w:after="0"/>
              <w:rPr>
                <w:sz w:val="20"/>
                <w:szCs w:val="20"/>
                <w:color w:val="auto"/>
              </w:rPr>
            </w:pPr>
            <w:r>
              <w:rPr>
                <w:rFonts w:ascii="Arial" w:cs="Arial" w:eastAsia="Arial" w:hAnsi="Arial"/>
                <w:sz w:val="22"/>
                <w:szCs w:val="22"/>
                <w:color w:val="auto"/>
              </w:rPr>
              <w:t>rgolden@cooperco.com</w:t>
            </w:r>
          </w:p>
        </w:tc>
        <w:tc>
          <w:tcPr>
            <w:tcW w:w="0" w:type="dxa"/>
            <w:vAlign w:val="bottom"/>
          </w:tcPr>
          <w:p>
            <w:pPr>
              <w:spacing w:after="0"/>
              <w:rPr>
                <w:sz w:val="1"/>
                <w:szCs w:val="1"/>
                <w:color w:val="auto"/>
              </w:rPr>
            </w:pPr>
          </w:p>
        </w:tc>
      </w:tr>
      <w:tr>
        <w:trPr>
          <w:trHeight w:val="721"/>
        </w:trPr>
        <w:tc>
          <w:tcPr>
            <w:tcW w:w="8580" w:type="dxa"/>
            <w:vAlign w:val="bottom"/>
            <w:gridSpan w:val="5"/>
          </w:tcPr>
          <w:p>
            <w:pPr>
              <w:spacing w:after="0"/>
              <w:rPr>
                <w:sz w:val="20"/>
                <w:szCs w:val="20"/>
                <w:color w:val="auto"/>
              </w:rPr>
            </w:pPr>
            <w:r>
              <w:rPr>
                <w:rFonts w:ascii="Arial" w:cs="Arial" w:eastAsia="Arial" w:hAnsi="Arial"/>
                <w:sz w:val="22"/>
                <w:szCs w:val="22"/>
                <w:color w:val="auto"/>
              </w:rPr>
              <w:t>Address:  6140 Stoneridge Mall Road, Suite 590</w:t>
            </w: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3"/>
                <w:szCs w:val="23"/>
                <w:color w:val="auto"/>
              </w:rPr>
            </w:pPr>
          </w:p>
        </w:tc>
        <w:tc>
          <w:tcPr>
            <w:tcW w:w="7380" w:type="dxa"/>
            <w:vAlign w:val="bottom"/>
            <w:gridSpan w:val="4"/>
          </w:tcPr>
          <w:p>
            <w:pPr>
              <w:ind w:left="100"/>
              <w:spacing w:after="0"/>
              <w:rPr>
                <w:sz w:val="20"/>
                <w:szCs w:val="20"/>
                <w:color w:val="auto"/>
              </w:rPr>
            </w:pPr>
            <w:r>
              <w:rPr>
                <w:rFonts w:ascii="Arial" w:cs="Arial" w:eastAsia="Arial" w:hAnsi="Arial"/>
                <w:sz w:val="22"/>
                <w:szCs w:val="22"/>
                <w:color w:val="auto"/>
              </w:rPr>
              <w:t>Pleasanton, California 94588</w:t>
            </w:r>
          </w:p>
        </w:tc>
        <w:tc>
          <w:tcPr>
            <w:tcW w:w="0" w:type="dxa"/>
            <w:vAlign w:val="bottom"/>
          </w:tcPr>
          <w:p>
            <w:pPr>
              <w:spacing w:after="0"/>
              <w:rPr>
                <w:sz w:val="1"/>
                <w:szCs w:val="1"/>
                <w:color w:val="auto"/>
              </w:rPr>
            </w:pPr>
          </w:p>
        </w:tc>
      </w:tr>
      <w:tr>
        <w:trPr>
          <w:trHeight w:val="486"/>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
          </w:tcPr>
          <w:p>
            <w:pPr>
              <w:jc w:val="center"/>
              <w:ind w:left="712"/>
              <w:spacing w:after="0"/>
              <w:rPr>
                <w:sz w:val="20"/>
                <w:szCs w:val="20"/>
                <w:color w:val="auto"/>
              </w:rPr>
            </w:pPr>
            <w:r>
              <w:rPr>
                <w:rFonts w:ascii="Arial" w:cs="Arial" w:eastAsia="Arial" w:hAnsi="Arial"/>
                <w:sz w:val="22"/>
                <w:szCs w:val="22"/>
                <w:b w:val="1"/>
                <w:bCs w:val="1"/>
                <w:color w:val="auto"/>
              </w:rPr>
              <w:t>EXHIBIT A</w:t>
            </w:r>
          </w:p>
        </w:tc>
        <w:tc>
          <w:tcPr>
            <w:tcW w:w="0" w:type="dxa"/>
            <w:vAlign w:val="bottom"/>
          </w:tcPr>
          <w:p>
            <w:pPr>
              <w:spacing w:after="0"/>
              <w:rPr>
                <w:sz w:val="1"/>
                <w:szCs w:val="1"/>
                <w:color w:val="auto"/>
              </w:rPr>
            </w:pPr>
          </w:p>
        </w:tc>
      </w:tr>
      <w:tr>
        <w:trPr>
          <w:trHeight w:val="473"/>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
          </w:tcPr>
          <w:p>
            <w:pPr>
              <w:jc w:val="center"/>
              <w:ind w:left="732"/>
              <w:spacing w:after="0"/>
              <w:rPr>
                <w:sz w:val="20"/>
                <w:szCs w:val="20"/>
                <w:color w:val="auto"/>
              </w:rPr>
            </w:pPr>
            <w:r>
              <w:rPr>
                <w:rFonts w:ascii="Arial" w:cs="Arial" w:eastAsia="Arial" w:hAnsi="Arial"/>
                <w:sz w:val="22"/>
                <w:szCs w:val="22"/>
                <w:b w:val="1"/>
                <w:bCs w:val="1"/>
                <w:color w:val="auto"/>
              </w:rPr>
              <w:t>PRIOR INVENTIONS</w:t>
            </w:r>
          </w:p>
        </w:tc>
        <w:tc>
          <w:tcPr>
            <w:tcW w:w="0" w:type="dxa"/>
            <w:vAlign w:val="bottom"/>
          </w:tcPr>
          <w:p>
            <w:pPr>
              <w:spacing w:after="0"/>
              <w:rPr>
                <w:sz w:val="1"/>
                <w:szCs w:val="1"/>
                <w:color w:val="auto"/>
              </w:rPr>
            </w:pPr>
          </w:p>
        </w:tc>
      </w:tr>
      <w:tr>
        <w:trPr>
          <w:trHeight w:val="710"/>
        </w:trPr>
        <w:tc>
          <w:tcPr>
            <w:tcW w:w="1200" w:type="dxa"/>
            <w:vAlign w:val="bottom"/>
          </w:tcPr>
          <w:p>
            <w:pPr>
              <w:ind w:left="120"/>
              <w:spacing w:after="0"/>
              <w:rPr>
                <w:sz w:val="20"/>
                <w:szCs w:val="20"/>
                <w:color w:val="auto"/>
              </w:rPr>
            </w:pPr>
            <w:r>
              <w:rPr>
                <w:rFonts w:ascii="Arial" w:cs="Arial" w:eastAsia="Arial" w:hAnsi="Arial"/>
                <w:sz w:val="20"/>
                <w:szCs w:val="20"/>
                <w:b w:val="1"/>
                <w:bCs w:val="1"/>
                <w:color w:val="auto"/>
              </w:rPr>
              <w:t>TO:</w:t>
            </w: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The Cooper Companies, Inc.</w:t>
            </w:r>
          </w:p>
        </w:tc>
        <w:tc>
          <w:tcPr>
            <w:tcW w:w="0" w:type="dxa"/>
            <w:vAlign w:val="bottom"/>
          </w:tcPr>
          <w:p>
            <w:pPr>
              <w:spacing w:after="0"/>
              <w:rPr>
                <w:sz w:val="1"/>
                <w:szCs w:val="1"/>
                <w:color w:val="auto"/>
              </w:rPr>
            </w:pPr>
          </w:p>
        </w:tc>
      </w:tr>
      <w:tr>
        <w:trPr>
          <w:trHeight w:val="23"/>
        </w:trPr>
        <w:tc>
          <w:tcPr>
            <w:tcW w:w="120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FROM:</w:t>
            </w:r>
          </w:p>
        </w:tc>
        <w:tc>
          <w:tcPr>
            <w:tcW w:w="5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1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Albert G. White III</w:t>
            </w:r>
          </w:p>
        </w:tc>
        <w:tc>
          <w:tcPr>
            <w:tcW w:w="0" w:type="dxa"/>
            <w:vAlign w:val="bottom"/>
          </w:tcPr>
          <w:p>
            <w:pPr>
              <w:spacing w:after="0"/>
              <w:rPr>
                <w:sz w:val="1"/>
                <w:szCs w:val="1"/>
                <w:color w:val="auto"/>
              </w:rPr>
            </w:pPr>
          </w:p>
        </w:tc>
      </w:tr>
      <w:tr>
        <w:trPr>
          <w:trHeight w:val="23"/>
        </w:trPr>
        <w:tc>
          <w:tcPr>
            <w:tcW w:w="120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DATE:</w:t>
            </w:r>
          </w:p>
        </w:tc>
        <w:tc>
          <w:tcPr>
            <w:tcW w:w="5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1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April 12, 2019</w:t>
            </w: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660" w:right="600" w:hanging="652"/>
        <w:spacing w:after="0" w:line="451" w:lineRule="auto"/>
        <w:tabs>
          <w:tab w:leader="none" w:pos="39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Prior Inventions Disclosure</w:t>
      </w:r>
      <w:r>
        <w:rPr>
          <w:rFonts w:ascii="Arial" w:cs="Arial" w:eastAsia="Arial" w:hAnsi="Arial"/>
          <w:sz w:val="22"/>
          <w:szCs w:val="22"/>
          <w:color w:val="auto"/>
        </w:rPr>
        <w:t>. Except as listed in Section 2 below, the following is a complete list of all Prior Inventions:</w:t>
      </w:r>
      <w:r>
        <w:rPr>
          <w:rFonts w:ascii="Arial" w:cs="Arial" w:eastAsia="Arial" w:hAnsi="Arial"/>
          <w:sz w:val="22"/>
          <w:szCs w:val="22"/>
          <w:b w:val="1"/>
          <w:bCs w:val="1"/>
          <w:color w:val="auto"/>
        </w:rPr>
        <w:t xml:space="preserve"> </w:t>
      </w:r>
      <w:r>
        <w:rPr>
          <w:rFonts w:ascii="Arial" w:cs="Arial" w:eastAsia="Arial" w:hAnsi="Arial"/>
          <w:sz w:val="22"/>
          <w:szCs w:val="22"/>
          <w:color w:val="auto"/>
        </w:rPr>
        <w:t>No Prior Inventions.</w:t>
      </w: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1405255</wp:posOffset>
            </wp:positionV>
            <wp:extent cx="5454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1207770</wp:posOffset>
            </wp:positionV>
            <wp:extent cx="5454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1010920</wp:posOffset>
            </wp:positionV>
            <wp:extent cx="54540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813435</wp:posOffset>
            </wp:positionV>
            <wp:extent cx="5454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615950</wp:posOffset>
            </wp:positionV>
            <wp:extent cx="54540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419100</wp:posOffset>
            </wp:positionV>
            <wp:extent cx="5454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sheets attached.</w:t>
      </w:r>
    </w:p>
    <w:p>
      <w:pPr>
        <w:spacing w:after="0" w:line="220" w:lineRule="exact"/>
        <w:rPr>
          <w:sz w:val="20"/>
          <w:szCs w:val="20"/>
          <w:color w:val="auto"/>
        </w:rPr>
      </w:pPr>
    </w:p>
    <w:p>
      <w:pPr>
        <w:jc w:val="both"/>
        <w:ind w:firstLine="8"/>
        <w:spacing w:after="0" w:line="253" w:lineRule="auto"/>
        <w:tabs>
          <w:tab w:leader="none" w:pos="473"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Due to a prior confidentiality agreement, I cannot complete the disclosure under Section 1 above with respect to the Prior Inventions generally listed below, the intellectual property rights and duty of confidentiality with respect to which I owe to the following party(ies):</w:t>
      </w:r>
    </w:p>
    <w:p>
      <w:pPr>
        <w:spacing w:after="0" w:line="200" w:lineRule="exact"/>
        <w:rPr>
          <w:sz w:val="20"/>
          <w:szCs w:val="20"/>
          <w:color w:val="auto"/>
        </w:rPr>
      </w:pPr>
    </w:p>
    <w:p>
      <w:pPr>
        <w:spacing w:after="0" w:line="236" w:lineRule="exact"/>
        <w:rPr>
          <w:sz w:val="20"/>
          <w:szCs w:val="20"/>
          <w:color w:val="auto"/>
        </w:rPr>
      </w:pPr>
    </w:p>
    <w:p>
      <w:pPr>
        <w:ind w:left="1640"/>
        <w:spacing w:after="0"/>
        <w:tabs>
          <w:tab w:leader="none" w:pos="5900" w:val="left"/>
          <w:tab w:leader="none" w:pos="9460" w:val="left"/>
        </w:tabs>
        <w:rPr>
          <w:sz w:val="20"/>
          <w:szCs w:val="20"/>
          <w:color w:val="auto"/>
        </w:rPr>
      </w:pPr>
      <w:r>
        <w:rPr>
          <w:rFonts w:ascii="Arial" w:cs="Arial" w:eastAsia="Arial" w:hAnsi="Arial"/>
          <w:sz w:val="22"/>
          <w:szCs w:val="22"/>
          <w:b w:val="1"/>
          <w:bCs w:val="1"/>
          <w:color w:val="auto"/>
        </w:rPr>
        <w:t>Excluded Invention</w:t>
      </w:r>
      <w:r>
        <w:rPr>
          <w:sz w:val="20"/>
          <w:szCs w:val="20"/>
          <w:color w:val="auto"/>
        </w:rPr>
        <w:tab/>
      </w:r>
      <w:r>
        <w:rPr>
          <w:rFonts w:ascii="Arial" w:cs="Arial" w:eastAsia="Arial" w:hAnsi="Arial"/>
          <w:sz w:val="22"/>
          <w:szCs w:val="22"/>
          <w:b w:val="1"/>
          <w:bCs w:val="1"/>
          <w:color w:val="auto"/>
        </w:rPr>
        <w:t>Party(ies)</w:t>
      </w:r>
      <w:r>
        <w:rPr>
          <w:sz w:val="20"/>
          <w:szCs w:val="20"/>
          <w:color w:val="auto"/>
        </w:rPr>
        <w:tab/>
      </w:r>
      <w:r>
        <w:rPr>
          <w:rFonts w:ascii="Arial" w:cs="Arial" w:eastAsia="Arial" w:hAnsi="Arial"/>
          <w:sz w:val="19"/>
          <w:szCs w:val="19"/>
          <w:b w:val="1"/>
          <w:bCs w:val="1"/>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28575</wp:posOffset>
            </wp:positionV>
            <wp:extent cx="65862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Additional sheets attached.</w:t>
      </w:r>
    </w:p>
    <w:p>
      <w:pPr>
        <w:spacing w:after="0" w:line="200" w:lineRule="exact"/>
        <w:rPr>
          <w:sz w:val="20"/>
          <w:szCs w:val="20"/>
          <w:color w:val="auto"/>
        </w:rPr>
      </w:pPr>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Limited Exclusion Notification</w:t>
      </w:r>
      <w:r>
        <w:rPr>
          <w:rFonts w:ascii="Arial" w:cs="Arial" w:eastAsia="Arial" w:hAnsi="Arial"/>
          <w:sz w:val="19"/>
          <w:szCs w:val="19"/>
          <w:color w:val="auto"/>
        </w:rPr>
        <w:t>.</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This is to notify you in accordance with Section 2872 of the California Labor Code that the foregoing Agreement between you and Company does not require you to assign or offer to assign to Company any Invention that you develop entirely on your own time without using Company’s equipment, supplies, facilities or trade secret information, except for those Inventions that either:</w:t>
      </w:r>
    </w:p>
    <w:p>
      <w:pPr>
        <w:spacing w:after="0" w:line="134" w:lineRule="exact"/>
        <w:rPr>
          <w:sz w:val="20"/>
          <w:szCs w:val="20"/>
          <w:color w:val="auto"/>
        </w:rPr>
      </w:pPr>
    </w:p>
    <w:p>
      <w:pPr>
        <w:ind w:firstLine="656"/>
        <w:spacing w:after="0" w:line="263" w:lineRule="auto"/>
        <w:tabs>
          <w:tab w:leader="none" w:pos="1053"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to Company’s business, or actual or demonstrably anticipated research or development; or</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Result from any work performed by you for Company.</w:t>
      </w:r>
    </w:p>
    <w:p>
      <w:pPr>
        <w:sectPr>
          <w:pgSz w:w="11900" w:h="16838" w:orient="portrait"/>
          <w:cols w:equalWidth="0" w:num="1">
            <w:col w:w="11420"/>
          </w:cols>
          <w:pgMar w:left="240" w:top="388" w:right="239" w:bottom="0" w:gutter="0" w:footer="0" w:header="0"/>
        </w:sectPr>
      </w:pPr>
    </w:p>
    <w:bookmarkStart w:id="62" w:name="page63"/>
    <w:bookmarkEnd w:id="62"/>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signed on or within twenty-one (21) days after the Separation Date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My employment with the Cooper Companies, Inc. (“</w:t>
      </w:r>
      <w:r>
        <w:rPr>
          <w:rFonts w:ascii="Arial" w:cs="Arial" w:eastAsia="Arial" w:hAnsi="Arial"/>
          <w:sz w:val="19"/>
          <w:szCs w:val="19"/>
          <w:b w:val="1"/>
          <w:bCs w:val="1"/>
          <w:color w:val="auto"/>
        </w:rPr>
        <w:t>Company</w:t>
      </w:r>
      <w:r>
        <w:rPr>
          <w:rFonts w:ascii="Arial" w:cs="Arial" w:eastAsia="Arial" w:hAnsi="Arial"/>
          <w:sz w:val="19"/>
          <w:szCs w:val="19"/>
          <w:color w:val="auto"/>
        </w:rPr>
        <w:t>”) ended in all capacities on ________ (the “</w:t>
      </w:r>
      <w:r>
        <w:rPr>
          <w:rFonts w:ascii="Arial" w:cs="Arial" w:eastAsia="Arial" w:hAnsi="Arial"/>
          <w:sz w:val="19"/>
          <w:szCs w:val="19"/>
          <w:b w:val="1"/>
          <w:bCs w:val="1"/>
          <w:color w:val="auto"/>
        </w:rPr>
        <w:t>Separation Date</w:t>
      </w:r>
      <w:r>
        <w:rPr>
          <w:rFonts w:ascii="Arial" w:cs="Arial" w:eastAsia="Arial" w:hAnsi="Arial"/>
          <w:sz w:val="19"/>
          <w:szCs w:val="19"/>
          <w:color w:val="auto"/>
        </w:rPr>
        <w:t>”). I hereby</w:t>
      </w:r>
    </w:p>
    <w:p>
      <w:pPr>
        <w:spacing w:after="0" w:line="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confirm that I have been paid all compensation owed to me by Company for all hours worked; I have received all leave and leave benefits and protections for which I was eligible, pursuant to Company’s policies, applicable law, or otherwise; and I have not suffered any on-the-job injury or illness for which I have not already filed a workers’ compensation claim.</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I choose to enter into this Release and allow it to become effective by its terms, Company will provide me with certain severance benefits pursuant to the terms of the Executive Employment Agreement between me and Company dated ____, 2018 (the “</w:t>
      </w:r>
      <w:r>
        <w:rPr>
          <w:rFonts w:ascii="Arial" w:cs="Arial" w:eastAsia="Arial" w:hAnsi="Arial"/>
          <w:sz w:val="18"/>
          <w:szCs w:val="18"/>
          <w:b w:val="1"/>
          <w:bCs w:val="1"/>
          <w:color w:val="auto"/>
        </w:rPr>
        <w:t>Agreement</w:t>
      </w:r>
      <w:r>
        <w:rPr>
          <w:rFonts w:ascii="Arial" w:cs="Arial" w:eastAsia="Arial" w:hAnsi="Arial"/>
          <w:sz w:val="18"/>
          <w:szCs w:val="18"/>
          <w:color w:val="auto"/>
        </w:rPr>
        <w:t>”). I understand</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that I am not entitled to such severance benefits unless I return this fully-executed Release to Company within twenty-one (21) days after the Separation Date, and allow this Release to become fully effective and non-revocable by its terms. (Capitalized terms used but not defined in this Release shall have the meaning ascribed to them in the Agreement.)</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exchange for the severance benefits to which I would not otherwise be entitled, I hereby generally and completely release Company and its directors, officers, employees, shareholders, partners, agents, attorneys, predecessors, successors, parent and subsidiary entities, insurers, affiliates, and assigns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claims, liabilities and obligations, both known and unknown, arising from or in any way related to events, acts, conduct, or omissions occurring prior to or at the time that I sign this Release, including but not limited to claims arising from or in any way related to my employment with Company or the termination of that employment (collectively, the “</w:t>
      </w:r>
      <w:r>
        <w:rPr>
          <w:rFonts w:ascii="Arial" w:cs="Arial" w:eastAsia="Arial" w:hAnsi="Arial"/>
          <w:sz w:val="18"/>
          <w:szCs w:val="18"/>
          <w:b w:val="1"/>
          <w:bCs w:val="1"/>
          <w:color w:val="auto"/>
        </w:rPr>
        <w:t>Released Claims</w:t>
      </w:r>
      <w:r>
        <w:rPr>
          <w:rFonts w:ascii="Arial" w:cs="Arial" w:eastAsia="Arial" w:hAnsi="Arial"/>
          <w:sz w:val="18"/>
          <w:szCs w:val="18"/>
          <w:color w:val="auto"/>
        </w:rPr>
        <w:t>”). By way of example, the Released claims include, but are not limited to: (1) all claims related to my compensation or benefits from Company, including salary, bonuses, commissions, vacation pay, expense reimbursements, severance pay, fringe benefits, stock, stock options, or any other ownership interests in Company; (2) all claims for breach of contract, wrongful termination, and breach of the implied covenant of good faith and fair dealing; (3) all tort claims, including claims for fraud, defamation, emotional distress, and discharge in violation of public policy; and (4)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8"/>
          <w:szCs w:val="18"/>
          <w:b w:val="1"/>
          <w:bCs w:val="1"/>
          <w:color w:val="auto"/>
        </w:rPr>
        <w:t>ADEA</w:t>
      </w:r>
      <w:r>
        <w:rPr>
          <w:rFonts w:ascii="Arial" w:cs="Arial" w:eastAsia="Arial" w:hAnsi="Arial"/>
          <w:sz w:val="18"/>
          <w:szCs w:val="18"/>
          <w:color w:val="auto"/>
        </w:rPr>
        <w:t>”), and California state law.</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Notwithstanding the foregoing, the following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included in the Released Claims (the “</w:t>
      </w:r>
      <w:r>
        <w:rPr>
          <w:rFonts w:ascii="Arial" w:cs="Arial" w:eastAsia="Arial" w:hAnsi="Arial"/>
          <w:sz w:val="18"/>
          <w:szCs w:val="18"/>
          <w:b w:val="1"/>
          <w:bCs w:val="1"/>
          <w:color w:val="auto"/>
        </w:rPr>
        <w:t>Excluded Claims</w:t>
      </w:r>
      <w:r>
        <w:rPr>
          <w:rFonts w:ascii="Arial" w:cs="Arial" w:eastAsia="Arial" w:hAnsi="Arial"/>
          <w:sz w:val="18"/>
          <w:szCs w:val="18"/>
          <w:color w:val="auto"/>
        </w:rPr>
        <w:t>”): (a) any claims for breach of the Agreement arising after the date on which I sign this Release; (2) claims for reimbursement of properly incurred business expenses prior to and through the Separation Date which are submitted to Company for reimbursement within thirty (30) days after the Separation Date; (3) all rights I have in respect of the Equity Awards; (4) all claims for or rights to indemnification pursuant to this Agreement, the articles of incorporation and bylaws of Company, any indemnification agreement to which I am a party, or applicable law; (5) the Company’s continuing severance obligations under the Agreement; and (6) all claims which cannot be waived as a matter of law. I understand that nothing in this Release prevents me from filing, cooperating with, or participating in any proceeding before the Equal Employment Opportunity Commission, the Department of Labor, or any other government agency, except that I acknowledge and agree that I am hereby waiving my right to any monetary benefits in connection with any such claim, charge or proceeding (except for such benefits with respect to proceedings before the Securities and Exchange Commission). I hereby represent and warrant that, other than the Excluded Claims, I am not aware of any claims that I have or might have against any of the parties released above that are not included in the Released Claims.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 acknowledge that I am knowingly and voluntarily waiving and releasing any rights I may have under the ADEA, and that the consideration given for this Release is in addition to anything of value to which I was already entitled. I further acknowledge that I have been advised, as required by the ADEA, that: (a) my waiver and release does not apply to any rights or claims that may arise after the date I sign this Release;</w:t>
      </w:r>
    </w:p>
    <w:p>
      <w:pPr>
        <w:spacing w:after="0" w:line="1" w:lineRule="exact"/>
        <w:rPr>
          <w:sz w:val="20"/>
          <w:szCs w:val="20"/>
          <w:color w:val="auto"/>
        </w:rPr>
      </w:pPr>
    </w:p>
    <w:p>
      <w:pPr>
        <w:jc w:val="both"/>
        <w:ind w:firstLine="8"/>
        <w:spacing w:after="0" w:line="274" w:lineRule="auto"/>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been advised that I have the right to consult with an attorney prior to executing this Release (although I may choose voluntarily not to do so); (c) I have been given twenty-one (21) days to consider this Release (although I may choose voluntarily to sign it earlier); (d) I have seven (7) days following my execution of this Release to revoke my acceptance of it (with such revocation to be delivered in writing to the Chair of the Board within the 7-day revocation period); and (e) this Release will not be effective until the date upon which the revocation period has expired, which will be the eighth day after I sign it, provided I do not earlier revoke it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As required under California law for a general release of all known and unknown claims, I acknowledge that I have read and understand Section 1542 of the California Civil Code which reads as follows: “A general release does not extend to claims which the creditor or releasing party does not know or suspect to exist in his or her favor at the time of executing the release and that, if known by him or her, would have</w:t>
      </w:r>
    </w:p>
    <w:p>
      <w:pPr>
        <w:sectPr>
          <w:pgSz w:w="11900" w:h="16864" w:orient="portrait"/>
          <w:cols w:equalWidth="0" w:num="1">
            <w:col w:w="11420"/>
          </w:cols>
          <w:pgMar w:left="240" w:top="132" w:right="239" w:bottom="0" w:gutter="0" w:footer="0" w:header="0"/>
        </w:sectPr>
      </w:pPr>
    </w:p>
    <w:bookmarkStart w:id="63" w:name="page64"/>
    <w:bookmarkEnd w:id="63"/>
    <w:p>
      <w:pPr>
        <w:jc w:val="both"/>
        <w:spacing w:after="0" w:line="250" w:lineRule="auto"/>
        <w:rPr>
          <w:sz w:val="20"/>
          <w:szCs w:val="20"/>
          <w:color w:val="auto"/>
        </w:rPr>
      </w:pPr>
      <w:r>
        <w:rPr>
          <w:rFonts w:ascii="Arial" w:cs="Arial" w:eastAsia="Arial" w:hAnsi="Arial"/>
          <w:sz w:val="20"/>
          <w:szCs w:val="20"/>
          <w:color w:val="auto"/>
        </w:rPr>
        <w:t>materially affected his or her settlement with the debtor or released party.” I hereby expressly waive and relinquish all rights and benefits under that section and any law or legal principle of similar effect in any jurisdiction with respect to my release of claims herein, including but not limited to the release of unknown and unsuspected claims.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 further agree: (a) not to disparage Company or any of the other Released Parties, in any manner likely to be harmful to its or their business, business reputation or personal reputation (although I may respond accurately and fully to any question, inquiry or request for information as required by legal process); (b) not to voluntarily (except in response to legal compulsion) assist any third party in bringing or pursuing any proposed or pending litigation, arbitration, administrative claim or other formal proceedings against Company, its affiliates, officers, directors, employees or agents; and (c) to reasonably cooperate with Company by voluntarily (without legal compulsion) providing accurate and complete information, in connection with Company’s actual or contemplated defense, prosecution or investigation of any claims or demands by or against third parties, or other matters, arising from events, acts, or omissions that occurred during my employment with Company. I hereby certify that I have returned, without retaining any reproductions (in whole or in part), all information, materials and other property of Company, including but not limited to any embodiment (in any medium) of any confidential or proprietary information of Company (including but not limited to any such embodiments on any personally-owned electronic or other storage device such as computer, cellular phone, PDA, tablet or the like).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Release, together with the Agreement (including all Exhibits and documents incorporated therein by reference), constitutes the complete, final and exclusive embodiment of the entire agreement between me and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Reviewed, Understood and Agreed:</w:t>
      </w:r>
    </w:p>
    <w:p>
      <w:pPr>
        <w:spacing w:after="0" w:line="200" w:lineRule="exact"/>
        <w:rPr>
          <w:sz w:val="20"/>
          <w:szCs w:val="20"/>
          <w:color w:val="auto"/>
        </w:rPr>
      </w:pPr>
    </w:p>
    <w:p>
      <w:pPr>
        <w:spacing w:after="0" w:line="251"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7805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054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Albert G. White, III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4"/>
          <w:szCs w:val="14"/>
          <w:color w:val="auto"/>
        </w:rPr>
        <w:t>174807636 v5</w:t>
      </w:r>
    </w:p>
    <w:p>
      <w:pPr>
        <w:sectPr>
          <w:pgSz w:w="11900" w:h="16838" w:orient="portrait"/>
          <w:cols w:equalWidth="0" w:num="1">
            <w:col w:w="11420"/>
          </w:cols>
          <w:pgMar w:left="240" w:top="122"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10.2</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EXECUTIVE EMPLOYMENT AGREEMENT</w:t>
      </w:r>
    </w:p>
    <w:p>
      <w:pPr>
        <w:spacing w:after="0" w:line="3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THIS EXECUTIVE EMPLOYMENT AGREEMENT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is made by and between The Cooper Companies, Inc.</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and Brian G. Andrews (“</w:t>
      </w:r>
      <w:r>
        <w:rPr>
          <w:rFonts w:ascii="Arial" w:cs="Arial" w:eastAsia="Arial" w:hAnsi="Arial"/>
          <w:sz w:val="19"/>
          <w:szCs w:val="19"/>
          <w:b w:val="1"/>
          <w:bCs w:val="1"/>
          <w:color w:val="auto"/>
        </w:rPr>
        <w:t>Executive</w:t>
      </w:r>
      <w:r>
        <w:rPr>
          <w:rFonts w:ascii="Arial" w:cs="Arial" w:eastAsia="Arial" w:hAnsi="Arial"/>
          <w:sz w:val="19"/>
          <w:szCs w:val="19"/>
          <w:color w:val="auto"/>
        </w:rPr>
        <w:t>”) (collectively, the “</w:t>
      </w:r>
      <w:r>
        <w:rPr>
          <w:rFonts w:ascii="Arial" w:cs="Arial" w:eastAsia="Arial" w:hAnsi="Arial"/>
          <w:sz w:val="19"/>
          <w:szCs w:val="19"/>
          <w:b w:val="1"/>
          <w:bCs w:val="1"/>
          <w:color w:val="auto"/>
        </w:rPr>
        <w:t>Parties</w:t>
      </w:r>
      <w:r>
        <w:rPr>
          <w:rFonts w:ascii="Arial" w:cs="Arial" w:eastAsia="Arial" w:hAnsi="Arial"/>
          <w:sz w:val="19"/>
          <w:szCs w:val="19"/>
          <w:color w:val="auto"/>
        </w:rPr>
        <w:t>”, each a “</w:t>
      </w:r>
      <w:r>
        <w:rPr>
          <w:rFonts w:ascii="Arial" w:cs="Arial" w:eastAsia="Arial" w:hAnsi="Arial"/>
          <w:sz w:val="19"/>
          <w:szCs w:val="19"/>
          <w:b w:val="1"/>
          <w:bCs w:val="1"/>
          <w:color w:val="auto"/>
        </w:rPr>
        <w:t>Party</w:t>
      </w:r>
      <w:r>
        <w:rPr>
          <w:rFonts w:ascii="Arial" w:cs="Arial" w:eastAsia="Arial" w:hAnsi="Arial"/>
          <w:sz w:val="19"/>
          <w:szCs w:val="19"/>
          <w:color w:val="auto"/>
        </w:rPr>
        <w:t>”). As of the date (the “</w:t>
      </w:r>
      <w:r>
        <w:rPr>
          <w:rFonts w:ascii="Arial" w:cs="Arial" w:eastAsia="Arial" w:hAnsi="Arial"/>
          <w:sz w:val="19"/>
          <w:szCs w:val="19"/>
          <w:b w:val="1"/>
          <w:bCs w:val="1"/>
          <w:color w:val="auto"/>
        </w:rPr>
        <w:t>Execution Date</w:t>
      </w:r>
      <w:r>
        <w:rPr>
          <w:rFonts w:ascii="Arial" w:cs="Arial" w:eastAsia="Arial" w:hAnsi="Arial"/>
          <w:sz w:val="19"/>
          <w:szCs w:val="19"/>
          <w:color w:val="auto"/>
        </w:rPr>
        <w:t>”) this Agreement has been executed by both Parties, it will be deemed effective as of November 1, 2018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Executive is currently employed by Company as its Senior Vice President, Chief Financial Officer &amp; Treasurer;</w:t>
      </w:r>
    </w:p>
    <w:p>
      <w:pPr>
        <w:spacing w:after="0" w:line="22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Company wishes to continue to employ Executive and Executive wishes to be employed by Company on the terms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herein; and</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intend for this Agreement to set forth all of the terms and conditions of Executive’s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to supersede and replace all prior agreements, arrangements, representations or understandings between the Parties regarding Executive’s employment with Company, except for those prior agreements specifically identified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and covenants contained herein, the Parties agree as follows:</w:t>
      </w:r>
    </w:p>
    <w:p>
      <w:pPr>
        <w:spacing w:after="0" w:line="241" w:lineRule="exact"/>
        <w:rPr>
          <w:sz w:val="20"/>
          <w:szCs w:val="20"/>
          <w:color w:val="auto"/>
        </w:rPr>
      </w:pPr>
    </w:p>
    <w:p>
      <w:pPr>
        <w:ind w:firstLine="8"/>
        <w:spacing w:after="0" w:line="295" w:lineRule="auto"/>
        <w:tabs>
          <w:tab w:leader="none" w:pos="797"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POSITION. </w:t>
      </w:r>
      <w:r>
        <w:rPr>
          <w:rFonts w:ascii="Arial" w:cs="Arial" w:eastAsia="Arial" w:hAnsi="Arial"/>
          <w:sz w:val="20"/>
          <w:szCs w:val="20"/>
          <w:color w:val="auto"/>
        </w:rPr>
        <w:t>Company will continue to employ Executive and Executive shall continue to serve Company in the capacity of Senior</w:t>
      </w:r>
      <w:r>
        <w:rPr>
          <w:rFonts w:ascii="Arial" w:cs="Arial" w:eastAsia="Arial" w:hAnsi="Arial"/>
          <w:sz w:val="20"/>
          <w:szCs w:val="20"/>
          <w:b w:val="1"/>
          <w:bCs w:val="1"/>
          <w:color w:val="auto"/>
        </w:rPr>
        <w:t xml:space="preserve"> </w:t>
      </w:r>
      <w:r>
        <w:rPr>
          <w:rFonts w:ascii="Arial" w:cs="Arial" w:eastAsia="Arial" w:hAnsi="Arial"/>
          <w:sz w:val="20"/>
          <w:szCs w:val="20"/>
          <w:color w:val="auto"/>
        </w:rPr>
        <w:t>Vice President, Chief Financial Officer &amp; Treasurer.</w:t>
      </w:r>
    </w:p>
    <w:p>
      <w:pPr>
        <w:spacing w:after="0" w:line="150" w:lineRule="exact"/>
        <w:rPr>
          <w:rFonts w:ascii="Arial" w:cs="Arial" w:eastAsia="Arial" w:hAnsi="Arial"/>
          <w:sz w:val="20"/>
          <w:szCs w:val="20"/>
          <w:b w:val="1"/>
          <w:bCs w:val="1"/>
          <w:color w:val="auto"/>
        </w:rPr>
      </w:pPr>
    </w:p>
    <w:p>
      <w:pPr>
        <w:jc w:val="both"/>
        <w:ind w:firstLine="8"/>
        <w:spacing w:after="0" w:line="270" w:lineRule="auto"/>
        <w:tabs>
          <w:tab w:leader="none" w:pos="35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w:t>
      </w:r>
      <w:r>
        <w:rPr>
          <w:rFonts w:ascii="Arial" w:cs="Arial" w:eastAsia="Arial" w:hAnsi="Arial"/>
          <w:sz w:val="18"/>
          <w:szCs w:val="18"/>
          <w:color w:val="auto"/>
        </w:rPr>
        <w:t>As Senior Vice President, Chief Financial Officer &amp; Treasurer, Executive shall render exclusive, full-time services to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subsidiaries, and exercise such authority and perform such duties as assigned to Executive by Company’s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Executive shall report to the CEO. Executive shall perform services under this Agreement primarily at Company’s office in Pleasanton, California, and undertake business travel as necessary in performing the duties of his position. Subject to the terms of this Agreement, Executive’s responsibilities, working conditions and duties may be modified at the sole discretion of the CEO or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While employed by Company, Executive shall not compete with, or prepare to compete with Company, and Executive shall devote Executive’s best efforts and full business time, skill and attention to performance of Executive’s duties on behalf of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Executive may engage in civic, educational and not-for-profit activities (</w:t>
      </w:r>
      <w:r>
        <w:rPr>
          <w:rFonts w:ascii="Arial" w:cs="Arial" w:eastAsia="Arial" w:hAnsi="Arial"/>
          <w:sz w:val="18"/>
          <w:szCs w:val="18"/>
          <w:i w:val="1"/>
          <w:iCs w:val="1"/>
          <w:color w:val="auto"/>
        </w:rPr>
        <w:t>e.g.</w:t>
      </w:r>
      <w:r>
        <w:rPr>
          <w:rFonts w:ascii="Arial" w:cs="Arial" w:eastAsia="Arial" w:hAnsi="Arial"/>
          <w:sz w:val="18"/>
          <w:szCs w:val="18"/>
          <w:color w:val="auto"/>
        </w:rPr>
        <w:t xml:space="preserve"> charitable, university affiliation and industry association activities) as long as such activities do not materially interfere with Executive’s obligations hereunder or conflict with the interests of Company. During Executive’s employment with Company, Executive agrees not to engage in any business or for-profit activities outside Company, including serving on any advisory boards or boards of directors of for-profit entities other than in a representative capacity for the Company or its affiliates, except with the prior written approval of the CEO, which approval may be rescinded at any time in the CEO’s sole discretion; provided however, that in the event of such rescission Executive shall be permitted reasonable time for orderly withdrawal from any board with respect to which such consent has been rescinded. By signing this Agreement, Executive represents that, to the best of Executive’s knowledge, Executive is not subject to any other contract or duty that would interfere in any way with Executive’s employment with Company or performance of employment duties hereunder.</w:t>
      </w:r>
    </w:p>
    <w:p>
      <w:pPr>
        <w:spacing w:after="0" w:line="163" w:lineRule="exact"/>
        <w:rPr>
          <w:rFonts w:ascii="Arial" w:cs="Arial" w:eastAsia="Arial" w:hAnsi="Arial"/>
          <w:sz w:val="18"/>
          <w:szCs w:val="18"/>
          <w:b w:val="1"/>
          <w:bCs w:val="1"/>
          <w:color w:val="auto"/>
        </w:rPr>
      </w:pPr>
    </w:p>
    <w:p>
      <w:pPr>
        <w:ind w:firstLine="8"/>
        <w:spacing w:after="0" w:line="267" w:lineRule="auto"/>
        <w:tabs>
          <w:tab w:leader="none" w:pos="436"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POLICIES AND PROCEDURES. </w:t>
      </w:r>
      <w:r>
        <w:rPr>
          <w:rFonts w:ascii="Arial" w:cs="Arial" w:eastAsia="Arial" w:hAnsi="Arial"/>
          <w:sz w:val="20"/>
          <w:szCs w:val="20"/>
          <w:color w:val="auto"/>
        </w:rPr>
        <w:t>Executive shall be subject to and will comply with the policies and procedures of Company, as</w:t>
      </w:r>
      <w:r>
        <w:rPr>
          <w:rFonts w:ascii="Arial" w:cs="Arial" w:eastAsia="Arial" w:hAnsi="Arial"/>
          <w:sz w:val="20"/>
          <w:szCs w:val="20"/>
          <w:b w:val="1"/>
          <w:bCs w:val="1"/>
          <w:color w:val="auto"/>
        </w:rPr>
        <w:t xml:space="preserve"> </w:t>
      </w:r>
      <w:r>
        <w:rPr>
          <w:rFonts w:ascii="Arial" w:cs="Arial" w:eastAsia="Arial" w:hAnsi="Arial"/>
          <w:sz w:val="20"/>
          <w:szCs w:val="20"/>
          <w:color w:val="auto"/>
        </w:rPr>
        <w:t>modified from time to time at Company’s sole discretion, except to the extent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12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any such policy or procedure specifically conflicts with the express terms of this Agreement (in which case, this Agreement shall control).</w:t>
      </w:r>
    </w:p>
    <w:p>
      <w:pPr>
        <w:spacing w:after="0" w:line="233" w:lineRule="exact"/>
        <w:rPr>
          <w:sz w:val="20"/>
          <w:szCs w:val="20"/>
          <w:color w:val="auto"/>
        </w:rPr>
      </w:pPr>
    </w:p>
    <w:p>
      <w:pPr>
        <w:jc w:val="both"/>
        <w:ind w:firstLine="8"/>
        <w:spacing w:after="0" w:line="277" w:lineRule="auto"/>
        <w:tabs>
          <w:tab w:leader="none" w:pos="34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For services rendered hereunder, Executive shall receive an initial base salary at the rate of $425,000 per year,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payroll withholdings and deductions, which shall be deemed to have been effective as of November 1, 2018, and an initial true-up payment will be made within fifteen (15) days of the Execution Date. Otherwise, such base salary amount will be paid periodically in accordance with ordinary Company payroll practices. Executive’s base salary shall be subject to annual reviews and periodic adjustment by the Compensation Committee of the Board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which has full discretion to adjust Executive’s base salary. (For purposes of this Agreement, Executive’s base salary as so adjusted from time to time, shall be referred to as the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60" w:lineRule="exact"/>
        <w:rPr>
          <w:rFonts w:ascii="Arial" w:cs="Arial" w:eastAsia="Arial" w:hAnsi="Arial"/>
          <w:sz w:val="18"/>
          <w:szCs w:val="18"/>
          <w:b w:val="1"/>
          <w:bCs w:val="1"/>
          <w:color w:val="auto"/>
        </w:rPr>
      </w:pPr>
    </w:p>
    <w:p>
      <w:pPr>
        <w:jc w:val="both"/>
        <w:ind w:firstLine="8"/>
        <w:spacing w:after="0" w:line="270" w:lineRule="auto"/>
        <w:tabs>
          <w:tab w:leader="none" w:pos="38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BONUS. </w:t>
      </w:r>
      <w:r>
        <w:rPr>
          <w:rFonts w:ascii="Arial" w:cs="Arial" w:eastAsia="Arial" w:hAnsi="Arial"/>
          <w:sz w:val="18"/>
          <w:szCs w:val="18"/>
          <w:color w:val="auto"/>
        </w:rPr>
        <w:t>Executive will be eligible to receive an annual performance bonus (“</w:t>
      </w:r>
      <w:r>
        <w:rPr>
          <w:rFonts w:ascii="Arial" w:cs="Arial" w:eastAsia="Arial" w:hAnsi="Arial"/>
          <w:sz w:val="18"/>
          <w:szCs w:val="18"/>
          <w:b w:val="1"/>
          <w:bCs w:val="1"/>
          <w:color w:val="auto"/>
        </w:rPr>
        <w:t>Performance Bonus</w:t>
      </w:r>
      <w:r>
        <w:rPr>
          <w:rFonts w:ascii="Arial" w:cs="Arial" w:eastAsia="Arial" w:hAnsi="Arial"/>
          <w:sz w:val="18"/>
          <w:szCs w:val="18"/>
          <w:color w:val="auto"/>
        </w:rPr>
        <w:t>”), with a target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level (the </w:t>
      </w:r>
      <w:r>
        <w:rPr>
          <w:rFonts w:ascii="Arial" w:cs="Arial" w:eastAsia="Arial" w:hAnsi="Arial"/>
          <w:sz w:val="18"/>
          <w:szCs w:val="18"/>
          <w:b w:val="1"/>
          <w:bCs w:val="1"/>
          <w:color w:val="auto"/>
        </w:rPr>
        <w:t>“Bonus Target”</w:t>
      </w:r>
      <w:r>
        <w:rPr>
          <w:rFonts w:ascii="Arial" w:cs="Arial" w:eastAsia="Arial" w:hAnsi="Arial"/>
          <w:sz w:val="18"/>
          <w:szCs w:val="18"/>
          <w:color w:val="auto"/>
        </w:rPr>
        <w:t>) determined pursuant to Company’s Incentive Performance Plan (the “</w:t>
      </w:r>
      <w:r>
        <w:rPr>
          <w:rFonts w:ascii="Arial" w:cs="Arial" w:eastAsia="Arial" w:hAnsi="Arial"/>
          <w:sz w:val="18"/>
          <w:szCs w:val="18"/>
          <w:b w:val="1"/>
          <w:bCs w:val="1"/>
          <w:color w:val="auto"/>
        </w:rPr>
        <w:t>IPP</w:t>
      </w:r>
      <w:r>
        <w:rPr>
          <w:rFonts w:ascii="Arial" w:cs="Arial" w:eastAsia="Arial" w:hAnsi="Arial"/>
          <w:sz w:val="18"/>
          <w:szCs w:val="18"/>
          <w:color w:val="auto"/>
        </w:rPr>
        <w:t>”). The Board or its Compensation Committee will use best efforts to determine the Bonus Target for each year no later than March 31 of such year. The annual amount of such Performance Bonus shall be determined in the sole discretion of the Board or by its Compensation Committee (under authority delegated by the Board), based upon a review of both Executive's individual performance and Company’s performance, pursuant to Company’s IPP. The Board or the Compensation Committee, in their sole discretion, shall determine: the extent to which both Company and Executive have achieved any corporate or individual performance goals or targets, or other terms and conditions applicable to the Performance Bonus; the amount of the Performance Bonus (if any); and whether and to what extent a Performance Bonus may be paid with respect to any year during which Executive's employment terminates, subject to the terms and conditions of this Agreement. Performance Bonuses are not earned until they are approved in writing by the Board or Compensation Committee and paid to senior executive officers of Company. Any Performance Bonuses earned shall be paid subject to applicable employment taxes, withholding and deductions. Except as otherwise expressly provided in this Agreement, Executive must remain continuously employed with Company through the date that Performance Bonuses are generally paid to senior executive officers of Company in order to be eligible to receive such Performance Bonus.</w:t>
      </w:r>
    </w:p>
    <w:p>
      <w:pPr>
        <w:spacing w:after="0" w:line="173" w:lineRule="exact"/>
        <w:rPr>
          <w:rFonts w:ascii="Arial" w:cs="Arial" w:eastAsia="Arial" w:hAnsi="Arial"/>
          <w:sz w:val="18"/>
          <w:szCs w:val="18"/>
          <w:b w:val="1"/>
          <w:bCs w:val="1"/>
          <w:color w:val="auto"/>
        </w:rPr>
      </w:pPr>
    </w:p>
    <w:p>
      <w:pPr>
        <w:ind w:left="340" w:hanging="332"/>
        <w:spacing w:after="0"/>
        <w:tabs>
          <w:tab w:leader="none" w:pos="340"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BENEFITS. </w:t>
      </w:r>
      <w:r>
        <w:rPr>
          <w:rFonts w:ascii="Arial" w:cs="Arial" w:eastAsia="Arial" w:hAnsi="Arial"/>
          <w:sz w:val="19"/>
          <w:szCs w:val="19"/>
          <w:color w:val="auto"/>
        </w:rPr>
        <w:t>While employed by Company pursuant to this Agreement, Executive shall be entitled to the following benefits:</w:t>
      </w:r>
    </w:p>
    <w:p>
      <w:pPr>
        <w:spacing w:after="0" w:line="227" w:lineRule="exact"/>
        <w:rPr>
          <w:rFonts w:ascii="Arial" w:cs="Arial" w:eastAsia="Arial" w:hAnsi="Arial"/>
          <w:sz w:val="19"/>
          <w:szCs w:val="19"/>
          <w:b w:val="1"/>
          <w:bCs w:val="1"/>
          <w:color w:val="auto"/>
        </w:rPr>
      </w:pPr>
    </w:p>
    <w:p>
      <w:pPr>
        <w:jc w:val="both"/>
        <w:ind w:firstLine="656"/>
        <w:spacing w:after="0" w:line="280" w:lineRule="auto"/>
        <w:tabs>
          <w:tab w:leader="none" w:pos="1099"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Benefits</w:t>
      </w:r>
      <w:r>
        <w:rPr>
          <w:rFonts w:ascii="Arial" w:cs="Arial" w:eastAsia="Arial" w:hAnsi="Arial"/>
          <w:sz w:val="18"/>
          <w:szCs w:val="18"/>
          <w:color w:val="auto"/>
        </w:rPr>
        <w:t>. Executive shall be entitled to all benefits to which other executive officers of Company are entitled,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and conditions in effect from time to time, including, without limitation, participation in pension and profit sharing plans, Company’s 401(k) plan, group insurance policies and plans (including medical, health, vision, and disability insurance policies and plans, and the like), and executive perquisites, which may be maintained by Company for the benefit of its executives. Company reserves the right to alter, discontinue and/or amend its benefit plans and programs, as well as any executive perquisites, from time to time in its sole discretion.</w:t>
      </w:r>
    </w:p>
    <w:p>
      <w:pPr>
        <w:spacing w:after="0" w:line="156" w:lineRule="exact"/>
        <w:rPr>
          <w:rFonts w:ascii="Arial" w:cs="Arial" w:eastAsia="Arial" w:hAnsi="Arial"/>
          <w:sz w:val="18"/>
          <w:szCs w:val="18"/>
          <w:b w:val="1"/>
          <w:bCs w:val="1"/>
          <w:color w:val="auto"/>
        </w:rPr>
      </w:pPr>
    </w:p>
    <w:p>
      <w:pPr>
        <w:jc w:val="both"/>
        <w:ind w:firstLine="656"/>
        <w:spacing w:after="0" w:line="248" w:lineRule="auto"/>
        <w:tabs>
          <w:tab w:leader="none" w:pos="1111" w:val="left"/>
        </w:tabs>
        <w:numPr>
          <w:ilvl w:val="1"/>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Expense Reimbursement. </w:t>
      </w:r>
      <w:r>
        <w:rPr>
          <w:rFonts w:ascii="Arial" w:cs="Arial" w:eastAsia="Arial" w:hAnsi="Arial"/>
          <w:sz w:val="20"/>
          <w:szCs w:val="20"/>
          <w:color w:val="auto"/>
        </w:rPr>
        <w:t>Executive shall receive reimbursement for reasonable out-of-pocket expenses incurred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performance of Executive’s duties hereunder, including, but not limited to, any business travel on behalf of Company or its subsidiaries, in accordance with Company’s expense reimbursement policies and procedures in effect from time to time, including a requirement for specific itemization and documentation of such expenses.</w:t>
      </w:r>
    </w:p>
    <w:p>
      <w:pPr>
        <w:spacing w:after="0" w:line="183" w:lineRule="exact"/>
        <w:rPr>
          <w:rFonts w:ascii="Arial" w:cs="Arial" w:eastAsia="Arial" w:hAnsi="Arial"/>
          <w:sz w:val="20"/>
          <w:szCs w:val="20"/>
          <w:b w:val="1"/>
          <w:bCs w:val="1"/>
          <w:color w:val="auto"/>
        </w:rPr>
      </w:pPr>
    </w:p>
    <w:p>
      <w:pPr>
        <w:ind w:left="340" w:hanging="332"/>
        <w:spacing w:after="0"/>
        <w:tabs>
          <w:tab w:leader="none" w:pos="34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 RIGHTS AND DUTIES.</w:t>
      </w:r>
    </w:p>
    <w:p>
      <w:pPr>
        <w:spacing w:after="0" w:line="215" w:lineRule="exact"/>
        <w:rPr>
          <w:rFonts w:ascii="Arial" w:cs="Arial" w:eastAsia="Arial" w:hAnsi="Arial"/>
          <w:sz w:val="20"/>
          <w:szCs w:val="20"/>
          <w:b w:val="1"/>
          <w:bCs w:val="1"/>
          <w:color w:val="auto"/>
        </w:rPr>
      </w:pPr>
    </w:p>
    <w:p>
      <w:pPr>
        <w:ind w:firstLine="656"/>
        <w:spacing w:after="0" w:line="267" w:lineRule="auto"/>
        <w:tabs>
          <w:tab w:leader="none" w:pos="1167" w:val="left"/>
        </w:tabs>
        <w:numPr>
          <w:ilvl w:val="1"/>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Executive agrees to execute and abide by the Employee Confidential Information and Invention</w:t>
      </w:r>
      <w:r>
        <w:rPr>
          <w:rFonts w:ascii="Arial" w:cs="Arial" w:eastAsia="Arial" w:hAnsi="Arial"/>
          <w:sz w:val="20"/>
          <w:szCs w:val="20"/>
          <w:b w:val="1"/>
          <w:bCs w:val="1"/>
          <w:color w:val="auto"/>
        </w:rPr>
        <w:t xml:space="preserve"> </w:t>
      </w:r>
      <w:r>
        <w:rPr>
          <w:rFonts w:ascii="Arial" w:cs="Arial" w:eastAsia="Arial" w:hAnsi="Arial"/>
          <w:sz w:val="20"/>
          <w:szCs w:val="20"/>
          <w:color w:val="auto"/>
        </w:rPr>
        <w:t>Assignment Agreement (the “</w:t>
      </w:r>
      <w:r>
        <w:rPr>
          <w:rFonts w:ascii="Arial" w:cs="Arial" w:eastAsia="Arial" w:hAnsi="Arial"/>
          <w:sz w:val="20"/>
          <w:szCs w:val="20"/>
          <w:b w:val="1"/>
          <w:bCs w:val="1"/>
          <w:color w:val="auto"/>
        </w:rPr>
        <w:t>Confidential Information Agreement</w:t>
      </w:r>
      <w:r>
        <w:rPr>
          <w:rFonts w:ascii="Arial" w:cs="Arial" w:eastAsia="Arial" w:hAnsi="Arial"/>
          <w:sz w:val="20"/>
          <w:szCs w:val="20"/>
          <w:color w:val="auto"/>
        </w:rPr>
        <w:t xml:space="preserve">”),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66" w:name="page67"/>
    <w:bookmarkEnd w:id="66"/>
    <w:p>
      <w:pPr>
        <w:jc w:val="both"/>
        <w:ind w:firstLine="656"/>
        <w:spacing w:after="0" w:line="253" w:lineRule="auto"/>
        <w:tabs>
          <w:tab w:leader="none" w:pos="1219" w:val="left"/>
        </w:tabs>
        <w:numPr>
          <w:ilvl w:val="1"/>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Exclusive Property</w:t>
      </w:r>
      <w:r>
        <w:rPr>
          <w:rFonts w:ascii="Arial" w:cs="Arial" w:eastAsia="Arial" w:hAnsi="Arial"/>
          <w:sz w:val="20"/>
          <w:szCs w:val="20"/>
          <w:color w:val="auto"/>
        </w:rPr>
        <w:t>. Executive agrees that all Company-related business procured by Executive, and all Company-related</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opportunities and plans made known to Executive while employed by Company, are and shall remain the permanent and exclusive property of Company.</w:t>
      </w:r>
    </w:p>
    <w:p>
      <w:pPr>
        <w:spacing w:after="0" w:line="177" w:lineRule="exact"/>
        <w:rPr>
          <w:rFonts w:ascii="Arial" w:cs="Arial" w:eastAsia="Arial" w:hAnsi="Arial"/>
          <w:sz w:val="20"/>
          <w:szCs w:val="20"/>
          <w:b w:val="1"/>
          <w:bCs w:val="1"/>
          <w:color w:val="auto"/>
        </w:rPr>
      </w:pPr>
    </w:p>
    <w:p>
      <w:pPr>
        <w:ind w:left="340" w:hanging="332"/>
        <w:spacing w:after="0"/>
        <w:tabs>
          <w:tab w:leader="none" w:pos="34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w:t>
      </w:r>
    </w:p>
    <w:p>
      <w:pPr>
        <w:spacing w:after="0" w:line="215" w:lineRule="exact"/>
        <w:rPr>
          <w:rFonts w:ascii="Arial" w:cs="Arial" w:eastAsia="Arial" w:hAnsi="Arial"/>
          <w:sz w:val="20"/>
          <w:szCs w:val="20"/>
          <w:b w:val="1"/>
          <w:bCs w:val="1"/>
          <w:color w:val="auto"/>
        </w:rPr>
      </w:pPr>
    </w:p>
    <w:p>
      <w:pPr>
        <w:jc w:val="both"/>
        <w:ind w:firstLine="656"/>
        <w:spacing w:after="0" w:line="246" w:lineRule="auto"/>
        <w:tabs>
          <w:tab w:leader="none" w:pos="1059" w:val="left"/>
        </w:tabs>
        <w:numPr>
          <w:ilvl w:val="1"/>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At-Will Status. </w:t>
      </w:r>
      <w:r>
        <w:rPr>
          <w:rFonts w:ascii="Arial" w:cs="Arial" w:eastAsia="Arial" w:hAnsi="Arial"/>
          <w:sz w:val="20"/>
          <w:szCs w:val="20"/>
          <w:color w:val="auto"/>
        </w:rPr>
        <w:t>Company and Executive understand and agree that this employment relationship is at-will. Accordingly, there are</w:t>
      </w:r>
      <w:r>
        <w:rPr>
          <w:rFonts w:ascii="Arial" w:cs="Arial" w:eastAsia="Arial" w:hAnsi="Arial"/>
          <w:sz w:val="20"/>
          <w:szCs w:val="20"/>
          <w:b w:val="1"/>
          <w:bCs w:val="1"/>
          <w:color w:val="auto"/>
        </w:rPr>
        <w:t xml:space="preserve"> </w:t>
      </w:r>
      <w:r>
        <w:rPr>
          <w:rFonts w:ascii="Arial" w:cs="Arial" w:eastAsia="Arial" w:hAnsi="Arial"/>
          <w:sz w:val="20"/>
          <w:szCs w:val="20"/>
          <w:color w:val="auto"/>
        </w:rPr>
        <w:t>no promises or representations concerning the duration of Executive’s employment relationship, which may be terminated by either Executive or Company at any time, with or without Cause or Good Reason (as defined herein), and with or without advance notice. Executive’s at-will status cannot be altered except in an express written agreement signed by Executive and Company with specific written approval of Company’s Board.</w:t>
      </w:r>
    </w:p>
    <w:p>
      <w:pPr>
        <w:spacing w:after="0" w:line="185" w:lineRule="exact"/>
        <w:rPr>
          <w:rFonts w:ascii="Arial" w:cs="Arial" w:eastAsia="Arial" w:hAnsi="Arial"/>
          <w:sz w:val="20"/>
          <w:szCs w:val="20"/>
          <w:b w:val="1"/>
          <w:bCs w:val="1"/>
          <w:color w:val="auto"/>
        </w:rPr>
      </w:pPr>
    </w:p>
    <w:p>
      <w:pPr>
        <w:jc w:val="both"/>
        <w:ind w:firstLine="656"/>
        <w:spacing w:after="0" w:line="280" w:lineRule="auto"/>
        <w:tabs>
          <w:tab w:leader="none" w:pos="1111"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Resignation by Executive. </w:t>
      </w:r>
      <w:r>
        <w:rPr>
          <w:rFonts w:ascii="Arial" w:cs="Arial" w:eastAsia="Arial" w:hAnsi="Arial"/>
          <w:sz w:val="18"/>
          <w:szCs w:val="18"/>
          <w:color w:val="auto"/>
        </w:rPr>
        <w:t>Executive may resign from Company with or without Good Reason. Executive agrees to provide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three (3) weeks advance written notice of a resignation without Good Reason, to allow for an orderly transition. Company may accelerate the date Executive’s resignation is to become effective, in its sole discretion. In the event Company accelerates the resignation effective date, Executive will be paid Base Salary severance through the originally tendered resignation date, provided that in no such event will Executive be entitled under this paragraph 9(b) to receive more than three (3) months of Base Salary severance beyond the accelerated resignation date.</w:t>
      </w:r>
    </w:p>
    <w:p>
      <w:pPr>
        <w:spacing w:after="0" w:line="156" w:lineRule="exact"/>
        <w:rPr>
          <w:rFonts w:ascii="Arial" w:cs="Arial" w:eastAsia="Arial" w:hAnsi="Arial"/>
          <w:sz w:val="18"/>
          <w:szCs w:val="18"/>
          <w:b w:val="1"/>
          <w:bCs w:val="1"/>
          <w:color w:val="auto"/>
        </w:rPr>
      </w:pPr>
    </w:p>
    <w:p>
      <w:pPr>
        <w:jc w:val="both"/>
        <w:ind w:firstLine="656"/>
        <w:spacing w:after="0" w:line="258" w:lineRule="auto"/>
        <w:tabs>
          <w:tab w:leader="none" w:pos="1088" w:val="left"/>
        </w:tabs>
        <w:numPr>
          <w:ilvl w:val="1"/>
          <w:numId w:val="6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Cause.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for Company to terminate Executive shall mean: (i)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conviction or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felony; (ii) Executive’s willful misconduct in performing Executive’s duties, where such misconduct has had or is reasonably likely to have a material adverse effect upon Company; or (iii) any material breach of this Agreement, the Confidential Information Agreement, any other fully executed agreement with Company, or Company’s policies. Notwithstanding the foregoing, if any act or omission giving rise to Cause is reasonably capable of cure, “</w:t>
      </w:r>
      <w:r>
        <w:rPr>
          <w:rFonts w:ascii="Arial" w:cs="Arial" w:eastAsia="Arial" w:hAnsi="Arial"/>
          <w:sz w:val="19"/>
          <w:szCs w:val="19"/>
          <w:b w:val="1"/>
          <w:bCs w:val="1"/>
          <w:color w:val="auto"/>
        </w:rPr>
        <w:t>Cause</w:t>
      </w:r>
      <w:r>
        <w:rPr>
          <w:rFonts w:ascii="Arial" w:cs="Arial" w:eastAsia="Arial" w:hAnsi="Arial"/>
          <w:sz w:val="19"/>
          <w:szCs w:val="19"/>
          <w:color w:val="auto"/>
        </w:rPr>
        <w:t xml:space="preserve">” for Company to terminate Executive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exist unless: (x) Company provides Executive with specific written notice of the existence of the condition giving rise to Cause within thirty (30) days after the condition giving rise to Cause was first reasonably discoverable by Company; and (y) Executive fails to cure such condition within thirty (30) days after Executive’s receipt of such written notice.</w:t>
      </w:r>
    </w:p>
    <w:p>
      <w:pPr>
        <w:spacing w:after="0" w:line="173" w:lineRule="exact"/>
        <w:rPr>
          <w:rFonts w:ascii="Arial" w:cs="Arial" w:eastAsia="Arial" w:hAnsi="Arial"/>
          <w:sz w:val="19"/>
          <w:szCs w:val="19"/>
          <w:b w:val="1"/>
          <w:bCs w:val="1"/>
          <w:color w:val="auto"/>
        </w:rPr>
      </w:pPr>
    </w:p>
    <w:p>
      <w:pPr>
        <w:jc w:val="both"/>
        <w:ind w:firstLine="656"/>
        <w:spacing w:after="0" w:line="255" w:lineRule="auto"/>
        <w:tabs>
          <w:tab w:leader="none" w:pos="1151" w:val="left"/>
        </w:tabs>
        <w:numPr>
          <w:ilvl w:val="1"/>
          <w:numId w:val="6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Good Reason.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means the occurrence of any of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Executive’s prior written consent: (i) one or more reductions in Executive’s combined Base Salary and Bonus Target that result in a total reduction of more than ten percent (10%) in Executive’s target package (which consists of the combined cash value of the Base Salary and Bonus Target, irrespective of the actual amount of any Performance Bonus awarded) over the twelve (12) month period immediately preceding such reductions, unless such reductions are made pursuant to one or more across-the-board reductions of all senior executives’ base salaries and/or bonus targets; (ii) a material diminution of Executive’s duties, authority or responsibilities taken as a whole; or (iii) an involuntary relocation of Executive’s principal place of employment to a location that increases Executive’s one-way commute from Executive’s principal residence by more than fifty (50) miles. For avoidance of doubt, any change resulting in Executive no longer reporting to the CEO shall constitute a material diminution of Executive’s duties, authorities, or responsibilities as set forth in clause (ii) above in this paragraph. Notwithstanding the foregoing, “</w:t>
      </w:r>
      <w:r>
        <w:rPr>
          <w:rFonts w:ascii="Arial" w:cs="Arial" w:eastAsia="Arial" w:hAnsi="Arial"/>
          <w:sz w:val="19"/>
          <w:szCs w:val="19"/>
          <w:b w:val="1"/>
          <w:bCs w:val="1"/>
          <w:color w:val="auto"/>
        </w:rPr>
        <w:t>Good Reason</w:t>
      </w:r>
      <w:r>
        <w:rPr>
          <w:rFonts w:ascii="Arial" w:cs="Arial" w:eastAsia="Arial" w:hAnsi="Arial"/>
          <w:sz w:val="19"/>
          <w:szCs w:val="19"/>
          <w:color w:val="auto"/>
        </w:rPr>
        <w:t xml:space="preserve">” for Executive to resign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exist unless: (x) Executive provides Company with specific written notice of the existence of the condition giving rise to Good Reason within ninety (90) days after its initial occurrence; (y) Company fails to remedy such condition within thirty (30) days after its receipt of such written notice; and (z) Executive resigns within ninety (90) days after the cure period has lapsed.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67" w:name="page68"/>
    <w:bookmarkEnd w:id="67"/>
    <w:p>
      <w:pPr>
        <w:jc w:val="both"/>
        <w:ind w:firstLine="656"/>
        <w:spacing w:after="0" w:line="245" w:lineRule="auto"/>
        <w:tabs>
          <w:tab w:leader="none" w:pos="1102"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Final Pay upon Termination for Any Reason. </w:t>
      </w:r>
      <w:r>
        <w:rPr>
          <w:rFonts w:ascii="Arial" w:cs="Arial" w:eastAsia="Arial" w:hAnsi="Arial"/>
          <w:sz w:val="20"/>
          <w:szCs w:val="20"/>
          <w:color w:val="auto"/>
        </w:rPr>
        <w:t>Except as otherwise provided by this Agreement and/or required by law, upon</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Executive’s employment for any reason, Company’s obligation to make payments hereunder shall cease, except that Company shall pay all amounts due and payable for Executive’s services through Executive’s last day of employment (the “</w:t>
      </w:r>
      <w:r>
        <w:rPr>
          <w:rFonts w:ascii="Arial" w:cs="Arial" w:eastAsia="Arial" w:hAnsi="Arial"/>
          <w:sz w:val="20"/>
          <w:szCs w:val="20"/>
          <w:b w:val="1"/>
          <w:bCs w:val="1"/>
          <w:color w:val="auto"/>
        </w:rPr>
        <w:t>Separation Date</w:t>
      </w:r>
      <w:r>
        <w:rPr>
          <w:rFonts w:ascii="Arial" w:cs="Arial" w:eastAsia="Arial" w:hAnsi="Arial"/>
          <w:sz w:val="20"/>
          <w:szCs w:val="20"/>
          <w:color w:val="auto"/>
        </w:rPr>
        <w:t>”), including all accrued unpaid Base Salary and Performance Bonus compensation earned through Separation Date, any benefits accrued prior to the Separation Date, all accrued but unused vacation as of the Separation Date, and any reimbursable business expenses incurred but unreimbursed as of the Separation Date.</w:t>
      </w:r>
    </w:p>
    <w:p>
      <w:pPr>
        <w:spacing w:after="0" w:line="185" w:lineRule="exact"/>
        <w:rPr>
          <w:rFonts w:ascii="Arial" w:cs="Arial" w:eastAsia="Arial" w:hAnsi="Arial"/>
          <w:sz w:val="20"/>
          <w:szCs w:val="20"/>
          <w:b w:val="1"/>
          <w:bCs w:val="1"/>
          <w:color w:val="auto"/>
        </w:rPr>
      </w:pPr>
    </w:p>
    <w:p>
      <w:pPr>
        <w:ind w:left="1040" w:hanging="384"/>
        <w:spacing w:after="0"/>
        <w:tabs>
          <w:tab w:leader="none" w:pos="104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Severance Benefits upon a Covered Termination (No Change in Control).</w:t>
      </w:r>
    </w:p>
    <w:p>
      <w:pPr>
        <w:spacing w:after="0" w:line="242" w:lineRule="exact"/>
        <w:rPr>
          <w:rFonts w:ascii="Arial" w:cs="Arial" w:eastAsia="Arial" w:hAnsi="Arial"/>
          <w:sz w:val="20"/>
          <w:szCs w:val="20"/>
          <w:b w:val="1"/>
          <w:bCs w:val="1"/>
          <w:color w:val="auto"/>
        </w:rPr>
      </w:pPr>
    </w:p>
    <w:p>
      <w:pPr>
        <w:jc w:val="both"/>
        <w:ind w:firstLine="1305"/>
        <w:spacing w:after="0" w:line="299" w:lineRule="auto"/>
        <w:tabs>
          <w:tab w:leader="none" w:pos="1856" w:val="left"/>
        </w:tabs>
        <w:numPr>
          <w:ilvl w:val="1"/>
          <w:numId w:val="61"/>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Executive’s employment is terminated by Company without Cause or due to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for Good Reason (each a “</w:t>
      </w:r>
      <w:r>
        <w:rPr>
          <w:rFonts w:ascii="Arial" w:cs="Arial" w:eastAsia="Arial" w:hAnsi="Arial"/>
          <w:sz w:val="18"/>
          <w:szCs w:val="18"/>
          <w:b w:val="1"/>
          <w:bCs w:val="1"/>
          <w:color w:val="auto"/>
        </w:rPr>
        <w:t>Covered Termination</w:t>
      </w:r>
      <w:r>
        <w:rPr>
          <w:rFonts w:ascii="Arial" w:cs="Arial" w:eastAsia="Arial" w:hAnsi="Arial"/>
          <w:sz w:val="18"/>
          <w:szCs w:val="18"/>
          <w:color w:val="auto"/>
        </w:rPr>
        <w:t>”), Executive shall be eligible to receive the following severance benefits: (1) payment of a severance amount equal to twenty-four (24) months of Executive’s Base Salary in effect immediately prior to the Separation Date (or, the level in effect prior to a reduction of Base Salary that constitutes Good Reason), less applicable payroll tax withholdings and deductions (the “</w:t>
      </w:r>
      <w:r>
        <w:rPr>
          <w:rFonts w:ascii="Arial" w:cs="Arial" w:eastAsia="Arial" w:hAnsi="Arial"/>
          <w:sz w:val="18"/>
          <w:szCs w:val="18"/>
          <w:b w:val="1"/>
          <w:bCs w:val="1"/>
          <w:color w:val="auto"/>
        </w:rPr>
        <w:t>Cash Severance</w:t>
      </w:r>
      <w:r>
        <w:rPr>
          <w:rFonts w:ascii="Arial" w:cs="Arial" w:eastAsia="Arial" w:hAnsi="Arial"/>
          <w:sz w:val="18"/>
          <w:szCs w:val="18"/>
          <w:color w:val="auto"/>
        </w:rPr>
        <w:t>”); (2) a lump sum cash payment equal to the full amount of Executive’s Bonus Target for the fiscal year in which the Separation Date occurs, less applicable employment tax withholdings and deductions (the “</w:t>
      </w:r>
      <w:r>
        <w:rPr>
          <w:rFonts w:ascii="Arial" w:cs="Arial" w:eastAsia="Arial" w:hAnsi="Arial"/>
          <w:sz w:val="18"/>
          <w:szCs w:val="18"/>
          <w:b w:val="1"/>
          <w:bCs w:val="1"/>
          <w:color w:val="auto"/>
        </w:rPr>
        <w:t>Full Target Bonus</w:t>
      </w:r>
      <w:r>
        <w:rPr>
          <w:rFonts w:ascii="Arial" w:cs="Arial" w:eastAsia="Arial" w:hAnsi="Arial"/>
          <w:sz w:val="18"/>
          <w:szCs w:val="18"/>
          <w:color w:val="auto"/>
        </w:rPr>
        <w:t>”); (3) Executive’s then-outstanding equity awards (the “</w:t>
      </w:r>
      <w:r>
        <w:rPr>
          <w:rFonts w:ascii="Arial" w:cs="Arial" w:eastAsia="Arial" w:hAnsi="Arial"/>
          <w:sz w:val="18"/>
          <w:szCs w:val="18"/>
          <w:b w:val="1"/>
          <w:bCs w:val="1"/>
          <w:color w:val="auto"/>
        </w:rPr>
        <w:t>Equity Awards</w:t>
      </w:r>
      <w:r>
        <w:rPr>
          <w:rFonts w:ascii="Arial" w:cs="Arial" w:eastAsia="Arial" w:hAnsi="Arial"/>
          <w:sz w:val="18"/>
          <w:szCs w:val="18"/>
          <w:color w:val="auto"/>
        </w:rPr>
        <w:t>”) that vest based on time will be accelerated with respect to the portion of such Equity Awards that would have become vested if Executive remained employed for twelve (12) months after the Separation Date, unless otherwise provided in any time-based Equity Award granted after the Effective Date; provided that, any time-based Equity Awards that are subject to “cliff” vesting, will be converted to monthly vesting, if necessary, in order to effect such vesting acceleration; and (4) the exercise period applicable to the Equity Awards will be extended until the later of (A) the first (1st) anniversary of the Separation Date; or (B)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the avoidance of doubt, the vesting of Executive’s performance-based Equity Awards that were granted under the Company’s Long-Term Performance Share Award Agreement will continue to be governed under the terms of such document. In addition, provided Executive timely elects to continue Executive’s group health insurance coverage after the Separation Date pursuant to the federal COBRA law or applicable state insurance laws such as Cal-COBRA (collectively, “</w:t>
      </w:r>
      <w:r>
        <w:rPr>
          <w:rFonts w:ascii="Arial" w:cs="Arial" w:eastAsia="Arial" w:hAnsi="Arial"/>
          <w:sz w:val="18"/>
          <w:szCs w:val="18"/>
          <w:b w:val="1"/>
          <w:bCs w:val="1"/>
          <w:color w:val="auto"/>
        </w:rPr>
        <w:t>COBRA</w:t>
      </w:r>
      <w:r>
        <w:rPr>
          <w:rFonts w:ascii="Arial" w:cs="Arial" w:eastAsia="Arial" w:hAnsi="Arial"/>
          <w:sz w:val="18"/>
          <w:szCs w:val="18"/>
          <w:color w:val="auto"/>
        </w:rPr>
        <w:t>”), and the terms of the governing health insurance policies, Company will reimburse the monthly COBRA health insurance premiums (the “</w:t>
      </w:r>
      <w:r>
        <w:rPr>
          <w:rFonts w:ascii="Arial" w:cs="Arial" w:eastAsia="Arial" w:hAnsi="Arial"/>
          <w:sz w:val="18"/>
          <w:szCs w:val="18"/>
          <w:b w:val="1"/>
          <w:bCs w:val="1"/>
          <w:color w:val="auto"/>
        </w:rPr>
        <w:t>COBRA Payments</w:t>
      </w:r>
      <w:r>
        <w:rPr>
          <w:rFonts w:ascii="Arial" w:cs="Arial" w:eastAsia="Arial" w:hAnsi="Arial"/>
          <w:sz w:val="18"/>
          <w:szCs w:val="18"/>
          <w:color w:val="auto"/>
        </w:rPr>
        <w:t>”) Executive pays to continue Executive’s health insurance coverage (including dependent coverage) for twenty-four (24) months after the Separation Date, or until such earlier date as Executive either becomes eligible for group health insurance coverage through a new employer or ceases to be eligible for COBRA coverage (the “</w:t>
      </w:r>
      <w:r>
        <w:rPr>
          <w:rFonts w:ascii="Arial" w:cs="Arial" w:eastAsia="Arial" w:hAnsi="Arial"/>
          <w:sz w:val="18"/>
          <w:szCs w:val="18"/>
          <w:b w:val="1"/>
          <w:bCs w:val="1"/>
          <w:color w:val="auto"/>
        </w:rPr>
        <w:t>COBRA Payment Period</w:t>
      </w:r>
      <w:r>
        <w:rPr>
          <w:rFonts w:ascii="Arial" w:cs="Arial" w:eastAsia="Arial" w:hAnsi="Arial"/>
          <w:sz w:val="18"/>
          <w:szCs w:val="18"/>
          <w:color w:val="auto"/>
        </w:rPr>
        <w:t>”). Executive must submit to the Company appropriate documentation of the foregoing health insurance payments, within sixty (60) days of making such payments, in order to be reimbursed. Notwithstanding the foregoing, if Company determines, in its sole discretion, that it cannot pay the COBRA Payments without a substantial risk of violating applicable law (including, without limitation, Section 2716 of the Public Health Service Act), at the end of each remaining month of the COBRA Payment Period, Company shall pay Executive directly a taxable monthly amount which, after taxes, equals the COBRA Payment amount Company would have otherwise paid to Executive (assuming a 35% tax rate). Executive agrees to promptly notify Company in writing if Executive becomes eligible for group health insurance coverage through a new employer before the end of the specified reimbursement period. (All severance benefits provided in this entire subsection 8(f)(i) are referred to collectively as the “</w:t>
      </w:r>
      <w:r>
        <w:rPr>
          <w:rFonts w:ascii="Arial" w:cs="Arial" w:eastAsia="Arial" w:hAnsi="Arial"/>
          <w:sz w:val="18"/>
          <w:szCs w:val="18"/>
          <w:b w:val="1"/>
          <w:bCs w:val="1"/>
          <w:color w:val="auto"/>
        </w:rPr>
        <w:t>Severance Benefits.</w:t>
      </w:r>
      <w:r>
        <w:rPr>
          <w:rFonts w:ascii="Arial" w:cs="Arial" w:eastAsia="Arial" w:hAnsi="Arial"/>
          <w:sz w:val="18"/>
          <w:szCs w:val="18"/>
          <w:color w:val="auto"/>
        </w:rPr>
        <w:t>”)</w:t>
      </w:r>
    </w:p>
    <w:p>
      <w:pPr>
        <w:spacing w:after="0" w:line="179" w:lineRule="exact"/>
        <w:rPr>
          <w:rFonts w:ascii="Arial" w:cs="Arial" w:eastAsia="Arial" w:hAnsi="Arial"/>
          <w:sz w:val="19"/>
          <w:szCs w:val="19"/>
          <w:b w:val="1"/>
          <w:bCs w:val="1"/>
          <w:color w:val="auto"/>
        </w:rPr>
      </w:pPr>
    </w:p>
    <w:p>
      <w:pPr>
        <w:jc w:val="both"/>
        <w:ind w:firstLine="1305"/>
        <w:spacing w:after="0" w:line="268" w:lineRule="auto"/>
        <w:tabs>
          <w:tab w:leader="none" w:pos="1754" w:val="left"/>
        </w:tabs>
        <w:numPr>
          <w:ilvl w:val="1"/>
          <w:numId w:val="61"/>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Preconditions. </w:t>
      </w:r>
      <w:r>
        <w:rPr>
          <w:rFonts w:ascii="Arial" w:cs="Arial" w:eastAsia="Arial" w:hAnsi="Arial"/>
          <w:sz w:val="20"/>
          <w:szCs w:val="20"/>
          <w:color w:val="auto"/>
        </w:rPr>
        <w:t>As a precondition to receiving any Severance Benefits, Executive must (1) remain in compliance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continuing obligations Executive owes to Company, including those under this Agreement and Executive’s Confidential Information Agreement, and (2) within twenty-one (21)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68" w:name="page69"/>
    <w:bookmarkEnd w:id="68"/>
    <w:p>
      <w:pPr>
        <w:jc w:val="both"/>
        <w:spacing w:after="0" w:line="273" w:lineRule="auto"/>
        <w:rPr>
          <w:sz w:val="20"/>
          <w:szCs w:val="20"/>
          <w:color w:val="auto"/>
        </w:rPr>
      </w:pPr>
      <w:r>
        <w:rPr>
          <w:rFonts w:ascii="Arial" w:cs="Arial" w:eastAsia="Arial" w:hAnsi="Arial"/>
          <w:sz w:val="18"/>
          <w:szCs w:val="18"/>
          <w:color w:val="auto"/>
        </w:rPr>
        <w:t xml:space="preserve">days after the Separation Date (or forty-five (45) days after the Separation Date, in the event of a group reduction-in-force), Executive must sign and return to Company, a release of claims in substantially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Release</w:t>
      </w:r>
      <w:r>
        <w:rPr>
          <w:rFonts w:ascii="Arial" w:cs="Arial" w:eastAsia="Arial" w:hAnsi="Arial"/>
          <w:sz w:val="18"/>
          <w:szCs w:val="18"/>
          <w:color w:val="auto"/>
        </w:rPr>
        <w:t>”) (as modified, if necessary, to comply with legal requirements in the event of a group reduction-in-force) and allow the Release to become fully-effective and non-revocable by its terms. The Cash Severance will be paid in the form of continuing installments on Company’s ordinary payroll schedule, beginning on the first payroll date following the effective date of such Release. The Full Target Bonus will be paid on the next date on which bonuses are regularly scheduled to be paid, which in no event will be later than March 15 of the year following the year in which the Separation Date occurs. In the event the Release is not fully effective as of the next date on which bonuses are regularly scheduled to be paid, the Full Target Bonus will be paid within ten (10) business days following the effective date of such Release.</w:t>
      </w:r>
    </w:p>
    <w:p>
      <w:pPr>
        <w:spacing w:after="0" w:line="163" w:lineRule="exact"/>
        <w:rPr>
          <w:sz w:val="20"/>
          <w:szCs w:val="20"/>
          <w:color w:val="auto"/>
        </w:rPr>
      </w:pPr>
    </w:p>
    <w:p>
      <w:pPr>
        <w:jc w:val="both"/>
        <w:ind w:firstLine="656"/>
        <w:spacing w:after="0" w:line="274" w:lineRule="auto"/>
        <w:tabs>
          <w:tab w:leader="none" w:pos="1072"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Due to Death or Disability. </w:t>
      </w:r>
      <w:r>
        <w:rPr>
          <w:rFonts w:ascii="Arial" w:cs="Arial" w:eastAsia="Arial" w:hAnsi="Arial"/>
          <w:sz w:val="18"/>
          <w:szCs w:val="18"/>
          <w:color w:val="auto"/>
        </w:rPr>
        <w:t>Subject to applicable state or federal law, Executive’s employment with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terminate upon Executive’s death or Disability. For purposes of this Agreement, “</w:t>
      </w:r>
      <w:r>
        <w:rPr>
          <w:rFonts w:ascii="Arial" w:cs="Arial" w:eastAsia="Arial" w:hAnsi="Arial"/>
          <w:sz w:val="18"/>
          <w:szCs w:val="18"/>
          <w:b w:val="1"/>
          <w:bCs w:val="1"/>
          <w:color w:val="auto"/>
        </w:rPr>
        <w:t>Disability</w:t>
      </w:r>
      <w:r>
        <w:rPr>
          <w:rFonts w:ascii="Arial" w:cs="Arial" w:eastAsia="Arial" w:hAnsi="Arial"/>
          <w:sz w:val="18"/>
          <w:szCs w:val="18"/>
          <w:color w:val="auto"/>
        </w:rPr>
        <w:t>” means a physical or mental condition or disability which prevents Executive from performing Executive’s job responsibilities for more than six (6) months in any twelve</w:t>
      </w:r>
    </w:p>
    <w:p>
      <w:pPr>
        <w:spacing w:after="0" w:line="1" w:lineRule="exact"/>
        <w:rPr>
          <w:rFonts w:ascii="Arial" w:cs="Arial" w:eastAsia="Arial" w:hAnsi="Arial"/>
          <w:sz w:val="18"/>
          <w:szCs w:val="18"/>
          <w:b w:val="1"/>
          <w:bCs w:val="1"/>
          <w:color w:val="auto"/>
        </w:rPr>
      </w:pPr>
    </w:p>
    <w:p>
      <w:pPr>
        <w:jc w:val="both"/>
        <w:ind w:firstLine="8"/>
        <w:spacing w:after="0" w:line="304" w:lineRule="auto"/>
        <w:tabs>
          <w:tab w:leader="none" w:pos="417" w:val="left"/>
        </w:tabs>
        <w:numPr>
          <w:ilvl w:val="0"/>
          <w:numId w:val="63"/>
        </w:numPr>
        <w:rPr>
          <w:rFonts w:ascii="Arial" w:cs="Arial" w:eastAsia="Arial" w:hAnsi="Arial"/>
          <w:sz w:val="16"/>
          <w:szCs w:val="16"/>
          <w:color w:val="auto"/>
        </w:rPr>
      </w:pPr>
      <w:r>
        <w:rPr>
          <w:rFonts w:ascii="Arial" w:cs="Arial" w:eastAsia="Arial" w:hAnsi="Arial"/>
          <w:sz w:val="16"/>
          <w:szCs w:val="16"/>
          <w:color w:val="auto"/>
        </w:rPr>
        <w:t>month period, or for more than four (4) consecutive months. If Executive’s employment is terminated due to Executive’s death or Disability, in addition to any benefits under Company’s standard life and disability insurance policies, Executive (or Executive’s designated beneficiaries or estate) shall be eligible to receive the following severance benefits: (i) a lump sum payment equal to the amount of Executive’s Bonus Target for the fiscal year in which the Separation Date occurs, prorated based on the Separation Date and less applicable employment tax withholdings and deductions; (ii) accelerated vesting of Executive’s performance-based Equity Awards, prorated as set forth in the applicable Equity Award agreements (i.e., for any long-term performance share awards, a pro rata portion of those performance shares which have not completed their performance cycle, based on the portion of the performance cycle completed as of the Separation Date and based on the actual performance at the end of such performance cycle); (iii) monthly prorated accelerated vesting of Executive’s time-based Equity Awards; and (iv) the exercise period applicable to the Equity Awards will be extended until the later of (1) the first (1st) anniversary of the Separation Date; or (2)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sake of reference, all severance benefits provided in this entire subsection 8(g) are referred to collectively as the “</w:t>
      </w:r>
      <w:r>
        <w:rPr>
          <w:rFonts w:ascii="Arial" w:cs="Arial" w:eastAsia="Arial" w:hAnsi="Arial"/>
          <w:sz w:val="16"/>
          <w:szCs w:val="16"/>
          <w:b w:val="1"/>
          <w:bCs w:val="1"/>
          <w:color w:val="auto"/>
        </w:rPr>
        <w:t>Death or Disability Severance Benefits</w:t>
      </w:r>
      <w:r>
        <w:rPr>
          <w:rFonts w:ascii="Arial" w:cs="Arial" w:eastAsia="Arial" w:hAnsi="Arial"/>
          <w:sz w:val="16"/>
          <w:szCs w:val="16"/>
          <w:color w:val="auto"/>
        </w:rPr>
        <w:t>”). The Death and Disability Severance Benefits shall be paid subject to the same preconditions and on the same terms and conditions applicable to the Severance Benefits, as set forth in Section 8(f)(ii) (Preconditions).</w:t>
      </w:r>
    </w:p>
    <w:p>
      <w:pPr>
        <w:spacing w:after="0" w:line="379"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 BENEFITS.</w:t>
      </w:r>
    </w:p>
    <w:p>
      <w:pPr>
        <w:spacing w:after="0" w:line="215" w:lineRule="exact"/>
        <w:rPr>
          <w:rFonts w:ascii="Arial" w:cs="Arial" w:eastAsia="Arial" w:hAnsi="Arial"/>
          <w:sz w:val="20"/>
          <w:szCs w:val="20"/>
          <w:b w:val="1"/>
          <w:bCs w:val="1"/>
          <w:color w:val="auto"/>
        </w:rPr>
      </w:pPr>
    </w:p>
    <w:p>
      <w:pPr>
        <w:jc w:val="both"/>
        <w:ind w:firstLine="656"/>
        <w:spacing w:after="0" w:line="272" w:lineRule="auto"/>
        <w:tabs>
          <w:tab w:leader="none" w:pos="1099"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Termination. </w:t>
      </w:r>
      <w:r>
        <w:rPr>
          <w:rFonts w:ascii="Arial" w:cs="Arial" w:eastAsia="Arial" w:hAnsi="Arial"/>
          <w:sz w:val="18"/>
          <w:szCs w:val="18"/>
          <w:color w:val="auto"/>
        </w:rPr>
        <w:t>If Executive’s employment with Company is terminated by Company without Cause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Executive’s death or Disability) or Executive resigns for Good Reason, and such termination or resignation occurs within the period beginning three (3) months before and ending twelve (12) months after a Change in Control (defined below) (each a “</w:t>
      </w:r>
      <w:r>
        <w:rPr>
          <w:rFonts w:ascii="Arial" w:cs="Arial" w:eastAsia="Arial" w:hAnsi="Arial"/>
          <w:sz w:val="18"/>
          <w:szCs w:val="18"/>
          <w:b w:val="1"/>
          <w:bCs w:val="1"/>
          <w:color w:val="auto"/>
        </w:rPr>
        <w:t>CIC Termination</w:t>
      </w:r>
      <w:r>
        <w:rPr>
          <w:rFonts w:ascii="Arial" w:cs="Arial" w:eastAsia="Arial" w:hAnsi="Arial"/>
          <w:sz w:val="18"/>
          <w:szCs w:val="18"/>
          <w:color w:val="auto"/>
        </w:rPr>
        <w:t>”), Executive shall be eligible to receive the following enhanced severance package (in lieu of the Severance Benefits described above): (i) payment of thirty-six (36) months of Executive’s Base Salary as in effect immediately prior to the Separation Date (or, the level in effect prior to a reduction of Base Salary that constitutes Good Reason), less applicable withholdings and deductions; (ii) a lump sum cash payment equal to the Full Target Bonus; (iii) accelerated vesting of Executive’s Equity Awards so that Executive becomes one hundred percent (100%) vested in all such Equity Awards, with the Equity Awards that vest based on performance being accelerated to the “target” level of achievement; and (iv) the exercise period applicable to the Equity Awards will be extended until the later of (1)the first (1st) anniversary of the Separation Date; or (2) the date provided in the applicable Equity Award agreement, but in no case longer than the expiration of the stated term of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69" w:name="page70"/>
    <w:bookmarkEnd w:id="69"/>
    <w:p>
      <w:pPr>
        <w:jc w:val="both"/>
        <w:spacing w:after="0" w:line="242" w:lineRule="auto"/>
        <w:rPr>
          <w:sz w:val="20"/>
          <w:szCs w:val="20"/>
          <w:color w:val="auto"/>
        </w:rPr>
      </w:pPr>
      <w:r>
        <w:rPr>
          <w:rFonts w:ascii="Arial" w:cs="Arial" w:eastAsia="Arial" w:hAnsi="Arial"/>
          <w:sz w:val="20"/>
          <w:szCs w:val="20"/>
          <w:color w:val="auto"/>
        </w:rPr>
        <w:t>Equity Award. Except for the foregoing accelerated vesting and extended exercise benefits, all existing terms and conditions applicable to the Equity Awards shall remain in full force and effect. In addition, provided Executive timely elects to continue Executive’s group health insurance coverage after the Separation Date pursuant to COBRA, and the terms of the governing health insurance policies, Company will reimburse all monthly COBRA health insurance premiums Executive pays to continue Executive’s health insurance coverage (including dependent coverage) for thirty-six (36) months after the Separation Date or until such earlier date as Executive either becomes eligible for group health insurance coverage through a new employer or Executive ceases to be eligible for COBRA coverage. (All severance benefits provided in this subsection 9(a) shall be referred to collectively as the “</w:t>
      </w:r>
      <w:r>
        <w:rPr>
          <w:rFonts w:ascii="Arial" w:cs="Arial" w:eastAsia="Arial" w:hAnsi="Arial"/>
          <w:sz w:val="20"/>
          <w:szCs w:val="20"/>
          <w:b w:val="1"/>
          <w:bCs w:val="1"/>
          <w:color w:val="auto"/>
        </w:rPr>
        <w:t>CIC Severance Benefits.</w:t>
      </w:r>
      <w:r>
        <w:rPr>
          <w:rFonts w:ascii="Arial" w:cs="Arial" w:eastAsia="Arial" w:hAnsi="Arial"/>
          <w:sz w:val="20"/>
          <w:szCs w:val="20"/>
          <w:color w:val="auto"/>
        </w:rPr>
        <w:t>”) The CIC Severance Benefits shall be paid subject to the same preconditions and on the same terms and conditions applicable to the Severance Benefits, as set forth in Section 8(f)(ii) (Preconditions).</w:t>
      </w:r>
    </w:p>
    <w:p>
      <w:pPr>
        <w:spacing w:after="0" w:line="189" w:lineRule="exact"/>
        <w:rPr>
          <w:sz w:val="20"/>
          <w:szCs w:val="20"/>
          <w:color w:val="auto"/>
        </w:rPr>
      </w:pPr>
    </w:p>
    <w:p>
      <w:pPr>
        <w:jc w:val="both"/>
        <w:ind w:firstLine="656"/>
        <w:spacing w:after="0" w:line="270" w:lineRule="auto"/>
        <w:tabs>
          <w:tab w:leader="none" w:pos="1138"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 of Change in Control. </w:t>
      </w: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(i) the acquisition by any individual, entity or group (a “</w:t>
      </w:r>
      <w:r>
        <w:rPr>
          <w:rFonts w:ascii="Arial" w:cs="Arial" w:eastAsia="Arial" w:hAnsi="Arial"/>
          <w:sz w:val="18"/>
          <w:szCs w:val="18"/>
          <w:b w:val="1"/>
          <w:bCs w:val="1"/>
          <w:color w:val="auto"/>
        </w:rPr>
        <w:t>Person”</w:t>
      </w:r>
      <w:r>
        <w:rPr>
          <w:rFonts w:ascii="Arial" w:cs="Arial" w:eastAsia="Arial" w:hAnsi="Arial"/>
          <w:sz w:val="18"/>
          <w:szCs w:val="18"/>
          <w:color w:val="auto"/>
        </w:rPr>
        <w:t>), within the meaning of Section 13(d)(3) or 14(d)(2) of the Securities and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of beneficial ownership (within the meaning of Rule 13d-3 promulgated under the Exchange Act) of 50% or more of the combined voting power of the then outstanding securities of Company entitled to vote generally in the election of directors (“</w:t>
      </w:r>
      <w:r>
        <w:rPr>
          <w:rFonts w:ascii="Arial" w:cs="Arial" w:eastAsia="Arial" w:hAnsi="Arial"/>
          <w:sz w:val="18"/>
          <w:szCs w:val="18"/>
          <w:b w:val="1"/>
          <w:bCs w:val="1"/>
          <w:color w:val="auto"/>
        </w:rPr>
        <w:t>Voting Stock</w:t>
      </w:r>
      <w:r>
        <w:rPr>
          <w:rFonts w:ascii="Arial" w:cs="Arial" w:eastAsia="Arial" w:hAnsi="Arial"/>
          <w:sz w:val="18"/>
          <w:szCs w:val="18"/>
          <w:color w:val="auto"/>
        </w:rPr>
        <w:t>”); or (ii) consummation of a reorganization, merger or consolidation, a sale or other disposition of all or substantially all of the assets of Company, or other transaction ( each, a “</w:t>
      </w:r>
      <w:r>
        <w:rPr>
          <w:rFonts w:ascii="Arial" w:cs="Arial" w:eastAsia="Arial" w:hAnsi="Arial"/>
          <w:sz w:val="18"/>
          <w:szCs w:val="18"/>
          <w:b w:val="1"/>
          <w:bCs w:val="1"/>
          <w:color w:val="auto"/>
        </w:rPr>
        <w:t>Business Combination</w:t>
      </w:r>
      <w:r>
        <w:rPr>
          <w:rFonts w:ascii="Arial" w:cs="Arial" w:eastAsia="Arial" w:hAnsi="Arial"/>
          <w:sz w:val="18"/>
          <w:szCs w:val="18"/>
          <w:color w:val="auto"/>
        </w:rPr>
        <w:t>”), unless, in each case, immediately following such Business Combination, (A) all or substantially all of the individuals and entities who were the beneficial owners of Voting Stock of Company immediately prior to such Business Combination beneficially own, directly or indirectly, more than 50% of the combined voting power of the then outstanding shares of Voting Stock of the entity resulting from such Business Combination (including, without limitation, an entity which as a result of such transaction owns Company or all or substantially all of Company's assets either directly or through one or more subsidiaries) in substantially the same proportions relative to each other as their ownership, immediately prior to such Business Combination, of the Voting Stock of Company; and (B) no Person beneficially owns, directly or indirectly, 50% or more of the combined voting power of the then outstanding shares of Voting Stock of the entity resulting from such Business Combination.</w:t>
      </w:r>
    </w:p>
    <w:p>
      <w:pPr>
        <w:spacing w:after="0" w:line="173" w:lineRule="exact"/>
        <w:rPr>
          <w:rFonts w:ascii="Arial" w:cs="Arial" w:eastAsia="Arial" w:hAnsi="Arial"/>
          <w:sz w:val="18"/>
          <w:szCs w:val="18"/>
          <w:b w:val="1"/>
          <w:bCs w:val="1"/>
          <w:color w:val="auto"/>
        </w:rPr>
      </w:pPr>
    </w:p>
    <w:p>
      <w:pPr>
        <w:jc w:val="both"/>
        <w:ind w:firstLine="656"/>
        <w:spacing w:after="0" w:line="266" w:lineRule="auto"/>
        <w:tabs>
          <w:tab w:leader="none" w:pos="1061" w:val="left"/>
        </w:tabs>
        <w:numPr>
          <w:ilvl w:val="1"/>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Prior CIC Benefits. </w:t>
      </w:r>
      <w:r>
        <w:rPr>
          <w:rFonts w:ascii="Arial" w:cs="Arial" w:eastAsia="Arial" w:hAnsi="Arial"/>
          <w:sz w:val="19"/>
          <w:szCs w:val="19"/>
          <w:color w:val="auto"/>
        </w:rPr>
        <w:t>The Parties hereby acknowledge and agree that: (i) this Agreement supersedes in its entirety any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plan, or portion thereof pursuant to which Executive is or was entitled to any benefits in the event of a change in control, such that the Parties’ rights and obligations under any such prior agreement, plan, or portion thereof are null and void as of the Effective Date; and (ii) the CIC Benefits are the sole benefits to which Executive shall be entitled in the event of a CIC Termination.</w:t>
      </w:r>
    </w:p>
    <w:p>
      <w:pPr>
        <w:spacing w:after="0" w:line="165" w:lineRule="exact"/>
        <w:rPr>
          <w:rFonts w:ascii="Arial" w:cs="Arial" w:eastAsia="Arial" w:hAnsi="Arial"/>
          <w:sz w:val="19"/>
          <w:szCs w:val="19"/>
          <w:b w:val="1"/>
          <w:bCs w:val="1"/>
          <w:color w:val="auto"/>
        </w:rPr>
      </w:pPr>
    </w:p>
    <w:p>
      <w:pPr>
        <w:jc w:val="both"/>
        <w:ind w:firstLine="8"/>
        <w:spacing w:after="0" w:line="280" w:lineRule="auto"/>
        <w:tabs>
          <w:tab w:leader="none" w:pos="52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SECTION 409A COMPLIANCE. </w:t>
      </w:r>
      <w:r>
        <w:rPr>
          <w:rFonts w:ascii="Arial" w:cs="Arial" w:eastAsia="Arial" w:hAnsi="Arial"/>
          <w:sz w:val="18"/>
          <w:szCs w:val="18"/>
          <w:color w:val="auto"/>
        </w:rPr>
        <w:t>Notwithstanding anything set forth in this Agreement to the contrary, any payments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provided pursuant to this Agreement which constitute “deferred compensation” within the meaning of the Treasury Regulations issued pursuant to Section 409A of the Internal Revenue Code (the “</w:t>
      </w:r>
      <w:r>
        <w:rPr>
          <w:rFonts w:ascii="Arial" w:cs="Arial" w:eastAsia="Arial" w:hAnsi="Arial"/>
          <w:sz w:val="18"/>
          <w:szCs w:val="18"/>
          <w:b w:val="1"/>
          <w:bCs w:val="1"/>
          <w:color w:val="auto"/>
        </w:rPr>
        <w:t>Code</w:t>
      </w:r>
      <w:r>
        <w:rPr>
          <w:rFonts w:ascii="Arial" w:cs="Arial" w:eastAsia="Arial" w:hAnsi="Arial"/>
          <w:sz w:val="18"/>
          <w:szCs w:val="18"/>
          <w:color w:val="auto"/>
        </w:rPr>
        <w:t>”) shall not commence until Executive has incurred a “separation from service” (as such term is defined in the Treasury Regulation Section 1.409A-1(h) (“</w:t>
      </w:r>
      <w:r>
        <w:rPr>
          <w:rFonts w:ascii="Arial" w:cs="Arial" w:eastAsia="Arial" w:hAnsi="Arial"/>
          <w:sz w:val="18"/>
          <w:szCs w:val="18"/>
          <w:b w:val="1"/>
          <w:bCs w:val="1"/>
          <w:color w:val="auto"/>
        </w:rPr>
        <w:t>Separation From Service</w:t>
      </w:r>
      <w:r>
        <w:rPr>
          <w:rFonts w:ascii="Arial" w:cs="Arial" w:eastAsia="Arial" w:hAnsi="Arial"/>
          <w:sz w:val="18"/>
          <w:szCs w:val="18"/>
          <w:color w:val="auto"/>
        </w:rPr>
        <w:t>”), unless Company reasonably determines that such amounts may be provided to Executive without causing Executive to incur the additional 20% tax under Section 409A.</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the avoidance of doubt, it is intended that the payments and benefits set forth in this Agreement satisfy, to the greatest extent possible, the exemptions from the application of Section 409A provided under Treasury Regulation Sections 1.409A-1(b)(4), 1.409A-1(b)(5) and 1.409A-1(b)(9) and this Agreement will be construed to the greatest extent possible as consistent with those provisions. To the extent not so exempt, this Agreement (and any definitions hereunder) will be construed in a manner that complies with Section 409A and incorporates by reference all required definitions and payment terms. For purposes of Section 409A (including, without limitation, for purposes of Treasury Regulation Section 1.409A 2(b)(2)(iii)),</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70" w:name="page71"/>
    <w:bookmarkEnd w:id="70"/>
    <w:p>
      <w:pPr>
        <w:jc w:val="both"/>
        <w:spacing w:after="0" w:line="270" w:lineRule="auto"/>
        <w:rPr>
          <w:sz w:val="20"/>
          <w:szCs w:val="20"/>
          <w:color w:val="auto"/>
        </w:rPr>
      </w:pPr>
      <w:r>
        <w:rPr>
          <w:rFonts w:ascii="Arial" w:cs="Arial" w:eastAsia="Arial" w:hAnsi="Arial"/>
          <w:sz w:val="18"/>
          <w:szCs w:val="18"/>
          <w:color w:val="auto"/>
        </w:rPr>
        <w:t>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Company (or, if applicable, the successor entity thereto) determines that any payments upon Executive’s Separation From Service set forth herein and/or under any other agreement with Company constitute “deferred compensation” under Section 409A and Executive is, on Executive’s Separation From Service, a “specified employee” of Company or any successor entity thereto, as such term is defined in Section 409A(a)(2)(B)(i) of the Code, then, solely, to the extent necessary to avoid the incurrence of the adverse personal tax consequences under Section 409A, the timing of the payments upon Executive’s Separation From Service shall be delayed until the earlier to occur of: (a) the date that is six months and one day after Executive’s Separation From Service or (b) the date of Executive’s death (such applicable date, the “</w:t>
      </w:r>
      <w:r>
        <w:rPr>
          <w:rFonts w:ascii="Arial" w:cs="Arial" w:eastAsia="Arial" w:hAnsi="Arial"/>
          <w:sz w:val="18"/>
          <w:szCs w:val="18"/>
          <w:b w:val="1"/>
          <w:bCs w:val="1"/>
          <w:color w:val="auto"/>
        </w:rPr>
        <w:t>Specified Employee Initial Payment Date</w:t>
      </w:r>
      <w:r>
        <w:rPr>
          <w:rFonts w:ascii="Arial" w:cs="Arial" w:eastAsia="Arial" w:hAnsi="Arial"/>
          <w:sz w:val="18"/>
          <w:szCs w:val="18"/>
          <w:color w:val="auto"/>
        </w:rPr>
        <w:t>”). On the Specified Employee Initial Payment Date, Company (or the successor entity thereto, as applicable) shall (A) pay to Executive a lump sum amount equal to the sum of the payments upon Executive’s Separation From Service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None of the severance benefits under this Agreement will commence or otherwise be delivered prior to the effective date of the Release. Except to the minimum extent that payments must be delayed because Executive is a “specified employee” (as described above) or until the effectiveness of the Release, all amounts will be paid as soon as practicable in accordance with Company’s normal payroll practices and no interest will be due on any amounts so deferred.</w:t>
      </w:r>
    </w:p>
    <w:p>
      <w:pPr>
        <w:spacing w:after="0" w:line="186" w:lineRule="exact"/>
        <w:rPr>
          <w:sz w:val="20"/>
          <w:szCs w:val="20"/>
          <w:color w:val="auto"/>
        </w:rPr>
      </w:pPr>
    </w:p>
    <w:p>
      <w:pPr>
        <w:jc w:val="both"/>
        <w:ind w:firstLine="8"/>
        <w:spacing w:after="0" w:line="255" w:lineRule="auto"/>
        <w:tabs>
          <w:tab w:leader="none" w:pos="497"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BETTER AFTER TAX PROVISION. </w:t>
      </w:r>
      <w:r>
        <w:rPr>
          <w:rFonts w:ascii="Arial" w:cs="Arial" w:eastAsia="Arial" w:hAnsi="Arial"/>
          <w:sz w:val="19"/>
          <w:szCs w:val="19"/>
          <w:color w:val="auto"/>
        </w:rPr>
        <w:t>If any payment or benefit that Executive will or may receive from Company or otherwise (a</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280G 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any such 280G Payment will be equal to the Reduced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will be either (x) the largest portion of the 280G Payment that would result in no portion of the 280G Payment (after reduction) being subject to the Excise Tax, or (y) the largest portion, up to and including the total, of the 280G Payment, whichever amount (</w:t>
      </w:r>
      <w:r>
        <w:rPr>
          <w:rFonts w:ascii="Arial" w:cs="Arial" w:eastAsia="Arial" w:hAnsi="Arial"/>
          <w:sz w:val="19"/>
          <w:szCs w:val="19"/>
          <w:i w:val="1"/>
          <w:iCs w:val="1"/>
          <w:color w:val="auto"/>
        </w:rPr>
        <w:t>i.e</w:t>
      </w:r>
      <w:r>
        <w:rPr>
          <w:rFonts w:ascii="Arial" w:cs="Arial" w:eastAsia="Arial" w:hAnsi="Arial"/>
          <w:sz w:val="19"/>
          <w:szCs w:val="19"/>
          <w:color w:val="auto"/>
        </w:rPr>
        <w:t>.,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280G Payment may be subject to the Excise Tax. If a reduction in a 280G Payment is required pursuant to the preceding sentence and the Reduced Amount is determined pursuant to clause (x) of the preceding sentence, the reduction will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b w:val="1"/>
          <w:bCs w:val="1"/>
          <w:color w:val="auto"/>
        </w:rPr>
        <w:t>Pro Rata Reduction Method</w:t>
      </w:r>
      <w:r>
        <w:rPr>
          <w:rFonts w:ascii="Arial" w:cs="Arial" w:eastAsia="Arial" w:hAnsi="Arial"/>
          <w:sz w:val="19"/>
          <w:szCs w:val="19"/>
          <w:color w:val="auto"/>
        </w:rPr>
        <w:t>”).</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Notwithstanding the foregoing, if the Reduction Method or the Pro Rata Reduction Method would result in any portion of the 280G Payment being subject to taxes pursuant to Section 409A of the Code that would not otherwise be subject to taxes pursuant to Section 409A of the Code, then the Reduction Method and/or the Pro Rata Reduction Method, as the case may be, will be modified so as to avoid the imposition of taxes pursuant to Section 409A of the Code as follows: (A) as a first priority, the modification will preserve to the greatest extent possible, the greatest economic benefit for Executive as determined on an after-tax basis; (B) as a second priority, 280G Payments that are contingent on future events (</w:t>
      </w:r>
      <w:r>
        <w:rPr>
          <w:rFonts w:ascii="Arial" w:cs="Arial" w:eastAsia="Arial" w:hAnsi="Arial"/>
          <w:sz w:val="18"/>
          <w:szCs w:val="18"/>
          <w:i w:val="1"/>
          <w:iCs w:val="1"/>
          <w:color w:val="auto"/>
        </w:rPr>
        <w:t>e.g</w:t>
      </w:r>
      <w:r>
        <w:rPr>
          <w:rFonts w:ascii="Arial" w:cs="Arial" w:eastAsia="Arial" w:hAnsi="Arial"/>
          <w:sz w:val="18"/>
          <w:szCs w:val="18"/>
          <w:color w:val="auto"/>
        </w:rPr>
        <w:t>., being terminated without Cause), will be reduced (or eliminated) before 280G Payments that are not contingent on future events; and (C) as a third priority, 280G Payments that are “deferred compensation” within the meaning of Section 409A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71" w:name="page72"/>
    <w:bookmarkEnd w:id="71"/>
    <w:p>
      <w:pPr>
        <w:jc w:val="both"/>
        <w:ind w:right="20"/>
        <w:spacing w:after="0" w:line="260" w:lineRule="auto"/>
        <w:rPr>
          <w:sz w:val="20"/>
          <w:szCs w:val="20"/>
          <w:color w:val="auto"/>
        </w:rPr>
      </w:pPr>
      <w:r>
        <w:rPr>
          <w:rFonts w:ascii="Arial" w:cs="Arial" w:eastAsia="Arial" w:hAnsi="Arial"/>
          <w:sz w:val="20"/>
          <w:szCs w:val="20"/>
          <w:color w:val="auto"/>
        </w:rPr>
        <w:t>of the Code will be reduced (or eliminated) before 280G Payments that are not “deferred compensation” within the meaning of Section 409A of the Code.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Section 280G of the Code is not applicable by law to Executive, Company will determine whether any similar law in Executive’s jurisdiction applies and should be taken into account.</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independent professional firm engaged by Company for general tax audit purposes as of the day prior to the effective date of the Change in Control will make all determinations required to be made under this Section. If the firm so engaged by Company is serving as accountant or auditor for the individual, entity or group effecting the Change in Control, Company will appoint a nationally recognized independent professional firm to make the determinations required hereunder. Company will bear all expenses with respect to the determinations by such firm required to be made hereunder. Company will use commercially reasonable efforts to cause the firm engaged to make the determinations hereunder to provide its calculations, together with detailed supporting documentation, to Company and Executive within thirty (30) calendar days after the date on which Executive’s right to a 280G Payment becomes reasonably likely to occur (if requested at that time by Company or Executive) or such other time as requested by Company or Executive.</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Executive receives a 280G Payment for which the Reduced Amount was determined pursuant to clause (x) of the first paragraph of this Section and the Internal Revenue Service determines thereafter that some portion of the 280G Payment is subject to the Excise Tax, Executive will promptly return to Company a sufficient amount of the 280G Payment (after reduction pursuant to clause (x) of the first paragraph of this Section) so that no portion of the remaining 280G Payment is subject to the Excise Tax. For the avoidance of doubt, if the Reduced Amount was determined pursuant to clause (y) of the first paragraph of this Section, Executive will have no obligation to return any portion of the 280G Payment pursuant to the preceding sentence.</w:t>
      </w:r>
    </w:p>
    <w:p>
      <w:pPr>
        <w:spacing w:after="0" w:line="191"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5" w:lineRule="exact"/>
        <w:rPr>
          <w:rFonts w:ascii="Arial" w:cs="Arial" w:eastAsia="Arial" w:hAnsi="Arial"/>
          <w:sz w:val="20"/>
          <w:szCs w:val="20"/>
          <w:b w:val="1"/>
          <w:bCs w:val="1"/>
          <w:color w:val="auto"/>
        </w:rPr>
      </w:pPr>
    </w:p>
    <w:p>
      <w:pPr>
        <w:jc w:val="both"/>
        <w:ind w:firstLine="656"/>
        <w:spacing w:after="0" w:line="273" w:lineRule="auto"/>
        <w:tabs>
          <w:tab w:leader="none" w:pos="1126"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Executive shall be responsible for the payment of any taxes due on any and all compensation, stock option, or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Company pursuant to this Agreement which are not withheld by Company. Executive agrees to indemnify and hold harmless Company from any and all claims or penalties asserted against Company arising from Executive’s failure to pay taxes due on any compensation, stock option, or benefit provided by Company pursuant to this Agreement. Executive expressly acknowledges that Company has not made any representation about the tax consequences of any consideration, including any extended exercise period, provided by Company to Executive pursuant to this Agreement; and that Company has advised Executive to seek independent tax advice with respect to any tax matters related to this Agreement. Executive understands and acknowledges that, pursuant to the tax rules governing incentive stock options, any extension of the exercise period applicable to incentive stock options held by Executive may immediately cause such options to cease to qualify as incentive stock options and by executing this Agreement, Executive agrees to such treatment.</w:t>
      </w:r>
    </w:p>
    <w:p>
      <w:pPr>
        <w:spacing w:after="0" w:line="163" w:lineRule="exact"/>
        <w:rPr>
          <w:rFonts w:ascii="Arial" w:cs="Arial" w:eastAsia="Arial" w:hAnsi="Arial"/>
          <w:sz w:val="18"/>
          <w:szCs w:val="18"/>
          <w:b w:val="1"/>
          <w:bCs w:val="1"/>
          <w:color w:val="auto"/>
        </w:rPr>
      </w:pPr>
    </w:p>
    <w:p>
      <w:pPr>
        <w:jc w:val="both"/>
        <w:ind w:firstLine="656"/>
        <w:spacing w:after="0" w:line="262" w:lineRule="auto"/>
        <w:tabs>
          <w:tab w:leader="none" w:pos="1084" w:val="left"/>
        </w:tabs>
        <w:numPr>
          <w:ilvl w:val="1"/>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Modification/Waiver. </w:t>
      </w:r>
      <w:r>
        <w:rPr>
          <w:rFonts w:ascii="Arial" w:cs="Arial" w:eastAsia="Arial" w:hAnsi="Arial"/>
          <w:sz w:val="19"/>
          <w:szCs w:val="19"/>
          <w:color w:val="auto"/>
        </w:rPr>
        <w:t>This Agreement may not be amended, modified, superseded, canceled, renewed or extended, or any terms</w:t>
      </w:r>
      <w:r>
        <w:rPr>
          <w:rFonts w:ascii="Arial" w:cs="Arial" w:eastAsia="Arial" w:hAnsi="Arial"/>
          <w:sz w:val="19"/>
          <w:szCs w:val="19"/>
          <w:b w:val="1"/>
          <w:bCs w:val="1"/>
          <w:color w:val="auto"/>
        </w:rPr>
        <w:t xml:space="preserve"> </w:t>
      </w:r>
      <w:r>
        <w:rPr>
          <w:rFonts w:ascii="Arial" w:cs="Arial" w:eastAsia="Arial" w:hAnsi="Arial"/>
          <w:sz w:val="19"/>
          <w:szCs w:val="19"/>
          <w:color w:val="auto"/>
        </w:rPr>
        <w:t>or covenants hereof waived, except by a writing executed by Executive and for Company by a duly authorized Board member; or, in the case of a waiver, by the Party waiving compliance. Failure of any Party at any time to require performance of any provision hereof shall not affect the Party’s right at a later time to enforce such provision. No waiver by a Party of a breach of this Agreement shall be deemed to be a waiver of any other breach of any term or condition contained in the Agreement.</w:t>
      </w:r>
    </w:p>
    <w:p>
      <w:pPr>
        <w:spacing w:after="0" w:line="171" w:lineRule="exact"/>
        <w:rPr>
          <w:rFonts w:ascii="Arial" w:cs="Arial" w:eastAsia="Arial" w:hAnsi="Arial"/>
          <w:sz w:val="19"/>
          <w:szCs w:val="19"/>
          <w:b w:val="1"/>
          <w:bCs w:val="1"/>
          <w:color w:val="auto"/>
        </w:rPr>
      </w:pPr>
    </w:p>
    <w:p>
      <w:pPr>
        <w:jc w:val="both"/>
        <w:ind w:firstLine="656"/>
        <w:spacing w:after="0" w:line="253" w:lineRule="auto"/>
        <w:tabs>
          <w:tab w:leader="none" w:pos="1088" w:val="left"/>
        </w:tabs>
        <w:numPr>
          <w:ilvl w:val="1"/>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Successors and Assigns. </w:t>
      </w:r>
      <w:r>
        <w:rPr>
          <w:rFonts w:ascii="Arial" w:cs="Arial" w:eastAsia="Arial" w:hAnsi="Arial"/>
          <w:sz w:val="20"/>
          <w:szCs w:val="20"/>
          <w:color w:val="auto"/>
        </w:rPr>
        <w:t>This Agreement may be assigned by Company to an affiliated entity of the Company with or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consent. This Agreement shall be assigned by the Company to any successor of the Company. This Agreement shall not be assignable by Executive.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72" w:name="page73"/>
    <w:bookmarkEnd w:id="72"/>
    <w:p>
      <w:pPr>
        <w:jc w:val="both"/>
        <w:ind w:firstLine="656"/>
        <w:spacing w:after="0" w:line="262" w:lineRule="auto"/>
        <w:tabs>
          <w:tab w:leader="none" w:pos="107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All notices to be given hereunder shall be in writing and shall be deemed to have been duly given on: the date personally</w:t>
      </w:r>
      <w:r>
        <w:rPr>
          <w:rFonts w:ascii="Arial" w:cs="Arial" w:eastAsia="Arial" w:hAnsi="Arial"/>
          <w:sz w:val="19"/>
          <w:szCs w:val="19"/>
          <w:b w:val="1"/>
          <w:bCs w:val="1"/>
          <w:color w:val="auto"/>
        </w:rPr>
        <w:t xml:space="preserve"> </w:t>
      </w:r>
      <w:r>
        <w:rPr>
          <w:rFonts w:ascii="Arial" w:cs="Arial" w:eastAsia="Arial" w:hAnsi="Arial"/>
          <w:sz w:val="19"/>
          <w:szCs w:val="19"/>
          <w:color w:val="auto"/>
        </w:rPr>
        <w:t>or hand delivered; one (1) day after being sent by internationally-recognized overnight delivery courier; and three (3) days after being sent by certified mail, return receipt requested. Notices mailed to Executive shall be sent to Executive’s last home address as reflected in Company’s personnel records. Executive shall promptly notify Company of any change in Executive’s address. Notices to Company shall be directed to the Chair of the Board and shall be mailed to Company’s headquarters.</w:t>
      </w:r>
    </w:p>
    <w:p>
      <w:pPr>
        <w:spacing w:after="0" w:line="171" w:lineRule="exact"/>
        <w:rPr>
          <w:rFonts w:ascii="Arial" w:cs="Arial" w:eastAsia="Arial" w:hAnsi="Arial"/>
          <w:sz w:val="19"/>
          <w:szCs w:val="19"/>
          <w:b w:val="1"/>
          <w:bCs w:val="1"/>
          <w:color w:val="auto"/>
        </w:rPr>
      </w:pPr>
    </w:p>
    <w:p>
      <w:pPr>
        <w:jc w:val="both"/>
        <w:ind w:firstLine="656"/>
        <w:spacing w:after="0" w:line="269" w:lineRule="auto"/>
        <w:tabs>
          <w:tab w:leader="none" w:pos="1183"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To aid in the rapid and economical resolution of any disputes that may arise between Executive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the Parties agree that any and all disputes, claims, or demands arising from or relating to this Agreement (including but not limited to the Confidential Information Agreement incorporated by reference herein), Executive’s employment relationship with Company, or the termination of that relationship (including statutory claims), shall be resolved, to the fullest extent permitted by law, by final, binding and confidential arbitration in San Francisco, California conducted by JAMS, Inc. (“JAMS”) or its successor, before a single neutral arbitrator, under the then applicable JAMS Arbitration Rules and Procedures for Employment Disputes (available at http://www.jamsadr.com/rules-employment-arbitration/) and subject to JAMS’ Policy on Employment Arbitration Minimum Standards of Procedural Fairness. </w:t>
      </w:r>
      <w:r>
        <w:rPr>
          <w:rFonts w:ascii="Arial" w:cs="Arial" w:eastAsia="Arial" w:hAnsi="Arial"/>
          <w:sz w:val="18"/>
          <w:szCs w:val="18"/>
          <w:b w:val="1"/>
          <w:bCs w:val="1"/>
          <w:color w:val="auto"/>
        </w:rPr>
        <w:t>The Parties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acknowledge that by agreeing to this arbitration procedure, they waive the right to resolve any such dispute, claim or demand through a trial by jury or judge or by administrative proceeding. </w:t>
      </w:r>
      <w:r>
        <w:rPr>
          <w:rFonts w:ascii="Arial" w:cs="Arial" w:eastAsia="Arial" w:hAnsi="Arial"/>
          <w:sz w:val="18"/>
          <w:szCs w:val="18"/>
          <w:color w:val="auto"/>
        </w:rPr>
        <w:t>The arbitrator shall: (a) have authority to compel adequate discovery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dispute and to award such relief as would otherwise be available under applicable law in a court proceeding; (b) issue a written statement signed by the arbitrator regarding the disposition of each claim and the relief, if any, awarded as to each claim, the reasons for the award, and the arbitrator’s essential findings and conclusions on which the award is based; and (c) have authority to decide questions regarding the enforceability, interpretation, scope, applicability, or coverage of this Agreement (including whether an issue is subject to arbitration under this Agreement). Company shall pay all JAMS’ arbitration fees. Executive will have the right to be represented by legal counsel at any arbitration proceeding, at Executive’s expense. The arbitrator may award reasonable attorney’s fees, costs, and expenses to the prevailing party in any arbitration (as reasonably determined by the arbitrator), in addition to any other relief to which the prevailing party may be entitled. Nothing in this Agreement is intended to prevent either Party from obtaining injunctive relief in a court of applicable jurisdiction to prevent irreparable harm pending the conclusion of any arbitration; or from enforcing any arbitration award in a court of applicable jurisdiction.</w:t>
      </w:r>
    </w:p>
    <w:p>
      <w:pPr>
        <w:spacing w:after="0" w:line="172" w:lineRule="exact"/>
        <w:rPr>
          <w:rFonts w:ascii="Arial" w:cs="Arial" w:eastAsia="Arial" w:hAnsi="Arial"/>
          <w:sz w:val="18"/>
          <w:szCs w:val="18"/>
          <w:b w:val="1"/>
          <w:bCs w:val="1"/>
          <w:color w:val="auto"/>
        </w:rPr>
      </w:pPr>
    </w:p>
    <w:p>
      <w:pPr>
        <w:jc w:val="both"/>
        <w:ind w:firstLine="656"/>
        <w:spacing w:after="0" w:line="260" w:lineRule="auto"/>
        <w:tabs>
          <w:tab w:leader="none" w:pos="1067"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w:t>
      </w:r>
      <w:r>
        <w:rPr>
          <w:rFonts w:ascii="Arial" w:cs="Arial" w:eastAsia="Arial" w:hAnsi="Arial"/>
          <w:sz w:val="19"/>
          <w:szCs w:val="19"/>
          <w:color w:val="auto"/>
        </w:rPr>
        <w:t>. In addition to any rights to indemnification to which Executive may be entitled under Company’s Charter and</w:t>
      </w:r>
      <w:r>
        <w:rPr>
          <w:rFonts w:ascii="Arial" w:cs="Arial" w:eastAsia="Arial" w:hAnsi="Arial"/>
          <w:sz w:val="19"/>
          <w:szCs w:val="19"/>
          <w:b w:val="1"/>
          <w:bCs w:val="1"/>
          <w:color w:val="auto"/>
        </w:rPr>
        <w:t xml:space="preserve"> </w:t>
      </w:r>
      <w:r>
        <w:rPr>
          <w:rFonts w:ascii="Arial" w:cs="Arial" w:eastAsia="Arial" w:hAnsi="Arial"/>
          <w:sz w:val="19"/>
          <w:szCs w:val="19"/>
          <w:color w:val="auto"/>
        </w:rPr>
        <w:t>By-Laws, Company shall indemnify, defend and provide Director and Officer liability insurance coverage to Executive at all times during and after Executive’s employment to the maximum extent permitted by applicable state laws and such insurance policies to cover Executive’s liability and expenses related to Executive’s acts and omissions within the course and scope of employment with Company, and shall pay Executive’s expenses in defending any civil or criminal action, suit, or proceeding in advance of the final disposition of such action, suit, or proceeding, to the maximum extent permitted under such applicable state laws.</w:t>
      </w:r>
    </w:p>
    <w:p>
      <w:pPr>
        <w:spacing w:after="0" w:line="173" w:lineRule="exact"/>
        <w:rPr>
          <w:rFonts w:ascii="Arial" w:cs="Arial" w:eastAsia="Arial" w:hAnsi="Arial"/>
          <w:sz w:val="19"/>
          <w:szCs w:val="19"/>
          <w:b w:val="1"/>
          <w:bCs w:val="1"/>
          <w:color w:val="auto"/>
        </w:rPr>
      </w:pPr>
    </w:p>
    <w:p>
      <w:pPr>
        <w:jc w:val="both"/>
        <w:ind w:firstLine="656"/>
        <w:spacing w:after="0" w:line="243" w:lineRule="auto"/>
        <w:tabs>
          <w:tab w:leader="none" w:pos="1275"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This Agreement, together with the Exhibits, sets forth the complete and exclusive agreement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of the Parties with regard to the subject matter hereof, and supersedes any and all prior or contemporaneous agreements, promises, representations, or communications, written or oral, pertaining to the subject matter hereof (including, but not limited to, the Prior CIC Agreement and any other communications between the Parties regarding benefits in the event of a change in control of Company); provided, however, that this Agreement and its Exhibits do not supersede any prior Performance Unit Plan agreements or any other equity agreements or plans. If any provision of this Agreement is determined to be invalid or unenforceable, in whole or in part, this determination will not affect any other provision of this Agreement, and the invalid or unenforceable provision shall be modified to render it valid and enforceable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73" w:name="page74"/>
    <w:bookmarkEnd w:id="73"/>
    <w:p>
      <w:pPr>
        <w:jc w:val="both"/>
        <w:spacing w:after="0" w:line="282" w:lineRule="auto"/>
        <w:rPr>
          <w:sz w:val="20"/>
          <w:szCs w:val="20"/>
          <w:color w:val="auto"/>
        </w:rPr>
      </w:pPr>
      <w:r>
        <w:rPr>
          <w:rFonts w:ascii="Arial" w:cs="Arial" w:eastAsia="Arial" w:hAnsi="Arial"/>
          <w:sz w:val="18"/>
          <w:szCs w:val="18"/>
          <w:color w:val="auto"/>
        </w:rPr>
        <w:t>consistent with the intent of the parties insofar as possible under applicable law. For purposes of construing this Agreement, any ambiguities shall not be construed against any party as the drafter. This Agreement may be executed in counterparts, which shall be deemed to be part of one original, and facsimile signatures shall be equivalent to original signatures. The validity, interpretation, construction and performance of this Agreement shall be governed by the laws of the State of California, without regard to conflict of laws principles.</w:t>
      </w:r>
    </w:p>
    <w:p>
      <w:pPr>
        <w:spacing w:after="0" w:line="15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each duly executed this Agreement as of the date written below to indicate their</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and acceptance of all of the above-stated terms and conditions.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THE COOPER COMPANIES, INC.</w:t>
      </w:r>
    </w:p>
    <w:p>
      <w:pPr>
        <w:spacing w:after="0" w:line="200" w:lineRule="exact"/>
        <w:rPr>
          <w:sz w:val="20"/>
          <w:szCs w:val="20"/>
          <w:color w:val="auto"/>
        </w:rPr>
      </w:pPr>
    </w:p>
    <w:p>
      <w:pPr>
        <w:spacing w:after="0" w:line="25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Randal 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1379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ind w:left="3900"/>
        <w:spacing w:after="0"/>
        <w:tabs>
          <w:tab w:leader="none" w:pos="432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16"/>
          <w:szCs w:val="16"/>
          <w:color w:val="auto"/>
        </w:rPr>
        <w:t>Vice President, General Counsel &amp; Secretary</w:t>
      </w:r>
    </w:p>
    <w:p>
      <w:pPr>
        <w:spacing w:after="0" w:line="213"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April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-14605</wp:posOffset>
            </wp:positionV>
            <wp:extent cx="862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1588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5887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Brian G. Andrews</w:t>
      </w:r>
    </w:p>
    <w:p>
      <w:pPr>
        <w:spacing w:after="0" w:line="200" w:lineRule="exact"/>
        <w:rPr>
          <w:sz w:val="20"/>
          <w:szCs w:val="20"/>
          <w:color w:val="auto"/>
        </w:rPr>
      </w:pPr>
    </w:p>
    <w:p>
      <w:pPr>
        <w:spacing w:after="0" w:line="229"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April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-14605</wp:posOffset>
            </wp:positionV>
            <wp:extent cx="8578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 CONFIDENTIAL INFORMATION AND INVENTION ASSIGNMENT AGREEMENT</w:t>
      </w:r>
      <w:r>
        <w:rPr>
          <w:rFonts w:ascii="Arial" w:cs="Arial" w:eastAsia="Arial" w:hAnsi="Arial"/>
          <w:sz w:val="21"/>
          <w:szCs w:val="21"/>
          <w:b w:val="1"/>
          <w:bCs w:val="1"/>
          <w:color w:val="auto"/>
        </w:rPr>
        <w:t>THE</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In consideration of my employment or continued employment by </w:t>
      </w:r>
      <w:r>
        <w:rPr>
          <w:rFonts w:ascii="Arial" w:cs="Arial" w:eastAsia="Arial" w:hAnsi="Arial"/>
          <w:sz w:val="22"/>
          <w:szCs w:val="22"/>
          <w:b w:val="1"/>
          <w:bCs w:val="1"/>
          <w:color w:val="auto"/>
        </w:rPr>
        <w:t>THE COOPER COMPANIES, INC. (“</w:t>
      </w:r>
      <w:r>
        <w:rPr>
          <w:rFonts w:ascii="Arial" w:cs="Arial" w:eastAsia="Arial" w:hAnsi="Arial"/>
          <w:sz w:val="22"/>
          <w:szCs w:val="22"/>
          <w:b w:val="1"/>
          <w:bCs w:val="1"/>
          <w:i w:val="1"/>
          <w:iCs w:val="1"/>
          <w:color w:val="auto"/>
        </w:rPr>
        <w:t>Employer</w:t>
      </w:r>
      <w:r>
        <w:rPr>
          <w:rFonts w:ascii="Arial" w:cs="Arial" w:eastAsia="Arial" w:hAnsi="Arial"/>
          <w:sz w:val="22"/>
          <w:szCs w:val="22"/>
          <w:b w:val="1"/>
          <w:bCs w:val="1"/>
          <w:color w:val="auto"/>
        </w:rPr>
        <w:t>”)</w:t>
      </w:r>
      <w:r>
        <w:rPr>
          <w:rFonts w:ascii="Arial" w:cs="Arial" w:eastAsia="Arial" w:hAnsi="Arial"/>
          <w:sz w:val="22"/>
          <w:szCs w:val="22"/>
          <w:color w:val="auto"/>
        </w:rPr>
        <w:t>, and its subsidiaries, parents, affiliates, successors and assigns (together with Employer,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compensation paid to me now and during my employment with Company, I hereby enter into this Employee Confidential Information and Invention Assignment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agree as follows:</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20"/>
          <w:szCs w:val="20"/>
          <w:b w:val="1"/>
          <w:bCs w:val="1"/>
          <w:color w:val="auto"/>
        </w:rPr>
      </w:pPr>
      <w:r>
        <w:rPr>
          <w:rFonts w:ascii="Arial" w:cs="Arial" w:eastAsia="Arial" w:hAnsi="Arial"/>
          <w:sz w:val="22"/>
          <w:szCs w:val="22"/>
          <w:b w:val="1"/>
          <w:bCs w:val="1"/>
          <w:color w:val="auto"/>
        </w:rPr>
        <w:t>Confidential Information Protections</w:t>
      </w:r>
      <w:r>
        <w:rPr>
          <w:rFonts w:ascii="Arial" w:cs="Arial" w:eastAsia="Arial" w:hAnsi="Arial"/>
          <w:sz w:val="22"/>
          <w:szCs w:val="22"/>
          <w:color w:val="auto"/>
        </w:rPr>
        <w:t>.</w:t>
      </w:r>
    </w:p>
    <w:p>
      <w:pPr>
        <w:spacing w:after="0" w:line="1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1"/>
          <w:szCs w:val="21"/>
          <w:b w:val="1"/>
          <w:bCs w:val="1"/>
          <w:color w:val="auto"/>
        </w:rPr>
        <w:t>Recognition of Company’s Rights; Nondisclosure</w:t>
      </w:r>
      <w:r>
        <w:rPr>
          <w:rFonts w:ascii="Arial" w:cs="Arial" w:eastAsia="Arial" w:hAnsi="Arial"/>
          <w:sz w:val="21"/>
          <w:szCs w:val="21"/>
          <w:color w:val="auto"/>
        </w:rPr>
        <w:t>. I understand and acknowledge that my employment by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creates a relationship of confidence and trust with respect to Company’s Confidential Information (as defined below) and that Company has a protectable interest therein. At all times during and after my employment, I will hold in confidence and will not disclose, use, lecture upon, or publish any of Company’s Confidential Information, except as such disclosure, use or publication may be required in connection with my work for Company, or unless an officer of Company expressly authorizes such disclosure, provided, however, that I will obtain Company’s written approval before publishing or submitting for publication any material (written, oral, or otherwise) that discloses and/or incorporates any Confidential Information. I hereby assign to Company any rights I may have or acquire in any Confidential Information and acknowledge and agree that all Confidential Information will be the sole and exclusive property of Company and its assigns. I will take all reasonable precautions to prevent the disclosure of Confidential Information. Notwithstanding the foregoing, pursuant to 18 U.S.C. Section 1833(b), I will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pacing w:after="0" w:line="200" w:lineRule="exact"/>
        <w:rPr>
          <w:sz w:val="20"/>
          <w:szCs w:val="20"/>
          <w:color w:val="auto"/>
        </w:rPr>
      </w:pPr>
    </w:p>
    <w:p>
      <w:pPr>
        <w:spacing w:after="0" w:line="338"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any and all confidential knowledge, data or</w:t>
      </w:r>
      <w:r>
        <w:rPr>
          <w:rFonts w:ascii="Arial" w:cs="Arial" w:eastAsia="Arial" w:hAnsi="Arial"/>
          <w:sz w:val="18"/>
          <w:szCs w:val="18"/>
          <w:b w:val="1"/>
          <w:bCs w:val="1"/>
          <w:color w:val="auto"/>
        </w:rPr>
        <w:t xml:space="preserve"> </w:t>
      </w:r>
      <w:r>
        <w:rPr>
          <w:rFonts w:ascii="Arial" w:cs="Arial" w:eastAsia="Arial" w:hAnsi="Arial"/>
          <w:sz w:val="19"/>
          <w:szCs w:val="19"/>
          <w:color w:val="auto"/>
        </w:rPr>
        <w:t>information of Company. By way of illustration but not limitation, Confidential Information includes (a) trade secrets, inventions, mask works, ideas, processes, formulas, software in source or object code, data, programs, writings, works of authorship, technology, know-how, improvements, discoveries, developments, designs and techniques and any other work product of any nature whatsoever and all Intellectual Property Rights in all of the foregoing (as defined below) therein (collectively, “</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w:t>
      </w:r>
    </w:p>
    <w:p>
      <w:pPr>
        <w:jc w:val="both"/>
        <w:ind w:firstLine="8"/>
        <w:spacing w:after="0" w:line="288" w:lineRule="auto"/>
        <w:tabs>
          <w:tab w:leader="none" w:pos="331"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information regarding research, development, new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 methods of conducting Company business, suppliers and supplier information, and purchasing; (c) information regarding customers and potential customers of Company, including customer lists, names, representatives, their needs or desires with respect to the types of products or services offered by Company, proposals, bids, contracts and their contents and parties, the type and quantity of</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75" w:name="page76"/>
    <w:bookmarkEnd w:id="75"/>
    <w:p>
      <w:pPr>
        <w:jc w:val="both"/>
        <w:spacing w:after="0" w:line="285" w:lineRule="auto"/>
        <w:rPr>
          <w:sz w:val="20"/>
          <w:szCs w:val="20"/>
          <w:color w:val="auto"/>
        </w:rPr>
      </w:pPr>
      <w:r>
        <w:rPr>
          <w:rFonts w:ascii="Arial" w:cs="Arial" w:eastAsia="Arial" w:hAnsi="Arial"/>
          <w:sz w:val="19"/>
          <w:szCs w:val="19"/>
          <w:color w:val="auto"/>
        </w:rPr>
        <w:t>products and services provided or sought to be provided to customers and potential customers of Company and other non-public information relating to customers and potential customers; (d) information regarding any of Company’s business partners and their services, including names, representatives, proposals, bids, contracts and their contents and parties, the type and quantity of products and services received by Company, and other non-public information relating to business partners; (e) information regarding personnel, employee lists, compensation, and employee skills; and (f) any other non-public information which a competitor of Company could use to the competitive disadvantage of Company. Furthermore, I acknowledge and agree that all Company Inventions (as defined in Section 2.1) are deemed Confidential Information of Company. Notwithstanding the foregoing, it is understood that, at all times, I am free to use information which was known to me prior to my employment with Company or which is, or becomes, generally known in the trade or industry through no breach of this Agreement or any other act or omission by me. Notwithstanding anything to the contrary in this Agreement or any other agreement between the Company and me, nothing in this Agreement will limit my right to discuss my employment or report possible violations of law or regulation with the Equal Employment Opportunity Commission, United States Department of Labor, the National Labor Relations Board, the Securities and Exchange Commission, or other federal government agency or similar state or local agency or to discuss the terms and conditions of my employment with others to the extent expressly permitted by Section 7 of the National Labor Relations Act or to the extent that such disclosure is protected under the applicable provisions of law or regulation, including but not limited to “whistleblower” statutes or other similar provisions that protect such disclosure</w:t>
      </w:r>
    </w:p>
    <w:p>
      <w:pPr>
        <w:spacing w:after="0" w:line="56"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1"/>
          <w:szCs w:val="21"/>
          <w:b w:val="1"/>
          <w:bCs w:val="1"/>
          <w:color w:val="auto"/>
        </w:rPr>
        <w:t>Third Party Information</w:t>
      </w:r>
      <w:r>
        <w:rPr>
          <w:rFonts w:ascii="Arial" w:cs="Arial" w:eastAsia="Arial" w:hAnsi="Arial"/>
          <w:sz w:val="21"/>
          <w:szCs w:val="21"/>
          <w:color w:val="auto"/>
        </w:rPr>
        <w:t>. I understand, in addition, that Company has received and in the future will receive from third</w:t>
      </w:r>
      <w:r>
        <w:rPr>
          <w:rFonts w:ascii="Arial" w:cs="Arial" w:eastAsia="Arial" w:hAnsi="Arial"/>
          <w:sz w:val="20"/>
          <w:szCs w:val="20"/>
          <w:b w:val="1"/>
          <w:bCs w:val="1"/>
          <w:color w:val="auto"/>
        </w:rPr>
        <w:t xml:space="preserve"> </w:t>
      </w:r>
      <w:r>
        <w:rPr>
          <w:rFonts w:ascii="Arial" w:cs="Arial" w:eastAsia="Arial" w:hAnsi="Arial"/>
          <w:sz w:val="21"/>
          <w:szCs w:val="21"/>
          <w:color w:val="auto"/>
        </w:rPr>
        <w:t>parties their confidential and/or proprietary knowledge, data or information (</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Third Party Information</w:t>
      </w:r>
      <w:r>
        <w:rPr>
          <w:rFonts w:ascii="Arial" w:cs="Arial" w:eastAsia="Arial" w:hAnsi="Arial"/>
          <w:sz w:val="21"/>
          <w:szCs w:val="21"/>
          <w:b w:val="1"/>
          <w:bCs w:val="1"/>
          <w:color w:val="auto"/>
        </w:rPr>
        <w:t>”</w:t>
      </w:r>
      <w:r>
        <w:rPr>
          <w:rFonts w:ascii="Arial" w:cs="Arial" w:eastAsia="Arial" w:hAnsi="Arial"/>
          <w:sz w:val="21"/>
          <w:szCs w:val="21"/>
          <w:color w:val="auto"/>
        </w:rPr>
        <w:t>) subject to a duty on Company’s part to maintain the confidentiality of such information and to use it only for certain limited purposes. During the term of my employment and thereafter, I will hold Third Party Information in confidence and will not disclose to anyone (other than Company personnel who need to know such information in connection with their work for Company) or use Third Party Information, in each case except in connection with my work for Company, or as otherwise expressly authorized by an officer of Company in writing.</w:t>
      </w:r>
    </w:p>
    <w:p>
      <w:pPr>
        <w:spacing w:after="0" w:line="65"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1"/>
          <w:szCs w:val="21"/>
          <w:b w:val="1"/>
          <w:bCs w:val="1"/>
          <w:color w:val="auto"/>
        </w:rPr>
        <w:t>Term of Nondisclosure Restrictions</w:t>
      </w:r>
      <w:r>
        <w:rPr>
          <w:rFonts w:ascii="Arial" w:cs="Arial" w:eastAsia="Arial" w:hAnsi="Arial"/>
          <w:sz w:val="21"/>
          <w:szCs w:val="21"/>
          <w:color w:val="auto"/>
        </w:rPr>
        <w:t>. I understand that Confidential Information and Third Party Information is only to</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be used or disclosed by me as provided in this Section 1. If a temporal limitation on my obligation not to use or disclose such information is required under applicable law, and the Agreement or its restriction(s) cannot otherwise be enforced, I agree and Company agrees that the two year period after the date my employment ends will be the temporal limitation relevant to the contested restriction; </w:t>
      </w:r>
      <w:r>
        <w:rPr>
          <w:rFonts w:ascii="Arial" w:cs="Arial" w:eastAsia="Arial" w:hAnsi="Arial"/>
          <w:sz w:val="21"/>
          <w:szCs w:val="21"/>
          <w:b w:val="1"/>
          <w:bCs w:val="1"/>
          <w:i w:val="1"/>
          <w:iCs w:val="1"/>
          <w:color w:val="auto"/>
        </w:rPr>
        <w:t>provided, however</w:t>
      </w:r>
      <w:r>
        <w:rPr>
          <w:rFonts w:ascii="Arial" w:cs="Arial" w:eastAsia="Arial" w:hAnsi="Arial"/>
          <w:sz w:val="21"/>
          <w:szCs w:val="21"/>
          <w:b w:val="1"/>
          <w:bCs w:val="1"/>
          <w:color w:val="auto"/>
        </w:rPr>
        <w:t>,</w:t>
      </w:r>
      <w:r>
        <w:rPr>
          <w:rFonts w:ascii="Arial" w:cs="Arial" w:eastAsia="Arial" w:hAnsi="Arial"/>
          <w:sz w:val="21"/>
          <w:szCs w:val="21"/>
          <w:color w:val="auto"/>
        </w:rPr>
        <w:t xml:space="preserve"> that this sentence will not apply to trade secrets protected without temporal limitation under applicable law.</w:t>
      </w:r>
    </w:p>
    <w:p>
      <w:pPr>
        <w:spacing w:after="0" w:line="6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1"/>
          <w:szCs w:val="21"/>
          <w:b w:val="1"/>
          <w:bCs w:val="1"/>
          <w:color w:val="auto"/>
        </w:rPr>
        <w:t>No Improper Use of Information of Prior Employers and Others</w:t>
      </w:r>
      <w:r>
        <w:rPr>
          <w:rFonts w:ascii="Arial" w:cs="Arial" w:eastAsia="Arial" w:hAnsi="Arial"/>
          <w:sz w:val="21"/>
          <w:szCs w:val="21"/>
          <w:color w:val="auto"/>
        </w:rPr>
        <w:t>. During my employment by Company, I will not</w:t>
      </w:r>
      <w:r>
        <w:rPr>
          <w:rFonts w:ascii="Arial" w:cs="Arial" w:eastAsia="Arial" w:hAnsi="Arial"/>
          <w:sz w:val="20"/>
          <w:szCs w:val="20"/>
          <w:b w:val="1"/>
          <w:bCs w:val="1"/>
          <w:color w:val="auto"/>
        </w:rPr>
        <w:t xml:space="preserve"> </w:t>
      </w:r>
      <w:r>
        <w:rPr>
          <w:rFonts w:ascii="Arial" w:cs="Arial" w:eastAsia="Arial" w:hAnsi="Arial"/>
          <w:sz w:val="21"/>
          <w:szCs w:val="21"/>
          <w:color w:val="auto"/>
        </w:rPr>
        <w:t>improperly use or disclose confidential information or trade secrets, if any, of any former employer or any other person to whom I have an obligation of confidentiality, and I will not bring onto the premises of Company any unpublished documents or any property belonging to any former employer or any other person to whom I have an obligation of confidentiality unless consented to in writing by that former employer or person.</w:t>
      </w:r>
    </w:p>
    <w:p>
      <w:pPr>
        <w:spacing w:after="0" w:line="56"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20"/>
          <w:szCs w:val="20"/>
          <w:b w:val="1"/>
          <w:bCs w:val="1"/>
          <w:color w:val="auto"/>
        </w:rPr>
      </w:pPr>
      <w:r>
        <w:rPr>
          <w:rFonts w:ascii="Arial" w:cs="Arial" w:eastAsia="Arial" w:hAnsi="Arial"/>
          <w:sz w:val="22"/>
          <w:szCs w:val="22"/>
          <w:b w:val="1"/>
          <w:bCs w:val="1"/>
          <w:color w:val="auto"/>
        </w:rPr>
        <w:t>Assignments of Inventions</w:t>
      </w:r>
      <w:r>
        <w:rPr>
          <w:rFonts w:ascii="Arial" w:cs="Arial" w:eastAsia="Arial" w:hAnsi="Arial"/>
          <w:sz w:val="22"/>
          <w:szCs w:val="22"/>
          <w:color w:val="auto"/>
        </w:rPr>
        <w: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75" w:right="239" w:bottom="1440" w:gutter="0" w:footer="0" w:header="0"/>
        </w:sectPr>
      </w:pPr>
    </w:p>
    <w:bookmarkStart w:id="76" w:name="page77"/>
    <w:bookmarkEnd w:id="76"/>
    <w:p>
      <w:pPr>
        <w:jc w:val="both"/>
        <w:ind w:firstLine="392"/>
        <w:spacing w:after="0" w:line="272"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20"/>
          <w:szCs w:val="20"/>
          <w:b w:val="1"/>
          <w:bCs w:val="1"/>
          <w:color w:val="auto"/>
        </w:rPr>
        <w:t>Definitions</w:t>
      </w:r>
      <w:r>
        <w:rPr>
          <w:rFonts w:ascii="Arial" w:cs="Arial" w:eastAsia="Arial" w:hAnsi="Arial"/>
          <w:sz w:val="20"/>
          <w:szCs w:val="20"/>
          <w:color w:val="auto"/>
        </w:rPr>
        <w:t>. As used in this Agreement, the term (a)</w:t>
      </w:r>
      <w:r>
        <w:rPr>
          <w:rFonts w:ascii="Arial" w:cs="Arial" w:eastAsia="Arial" w:hAnsi="Arial"/>
          <w:sz w:val="19"/>
          <w:szCs w:val="19"/>
          <w:b w:val="1"/>
          <w:bCs w:val="1"/>
          <w:color w:val="auto"/>
        </w:rPr>
        <w:t xml:space="preserve">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Intellectual Property Rights</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20"/>
          <w:szCs w:val="20"/>
          <w:color w:val="auto"/>
        </w:rPr>
        <w:t>means all past, present and future</w:t>
      </w:r>
      <w:r>
        <w:rPr>
          <w:rFonts w:ascii="Arial" w:cs="Arial" w:eastAsia="Arial" w:hAnsi="Arial"/>
          <w:sz w:val="19"/>
          <w:szCs w:val="19"/>
          <w:b w:val="1"/>
          <w:bCs w:val="1"/>
          <w:color w:val="auto"/>
        </w:rPr>
        <w:t xml:space="preserve"> </w:t>
      </w:r>
      <w:r>
        <w:rPr>
          <w:rFonts w:ascii="Arial" w:cs="Arial" w:eastAsia="Arial" w:hAnsi="Arial"/>
          <w:sz w:val="20"/>
          <w:szCs w:val="20"/>
          <w:color w:val="auto"/>
        </w:rPr>
        <w:t>rights of the following types, which may exist or be created under the laws of any jurisdiction in the world: trade secrets, Copyrights, trademark and trade name rights, mask work rights, patents and industrial property, and all proprietary rights in technology or works of authorized; (b) “</w:t>
      </w:r>
      <w:r>
        <w:rPr>
          <w:rFonts w:ascii="Arial" w:cs="Arial" w:eastAsia="Arial" w:hAnsi="Arial"/>
          <w:sz w:val="20"/>
          <w:szCs w:val="20"/>
          <w:b w:val="1"/>
          <w:bCs w:val="1"/>
          <w:i w:val="1"/>
          <w:iCs w:val="1"/>
          <w:color w:val="auto"/>
        </w:rPr>
        <w:t>Copyright</w:t>
      </w:r>
      <w:r>
        <w:rPr>
          <w:rFonts w:ascii="Arial" w:cs="Arial" w:eastAsia="Arial" w:hAnsi="Arial"/>
          <w:sz w:val="20"/>
          <w:szCs w:val="20"/>
          <w:color w:val="auto"/>
        </w:rPr>
        <w:t>” means the exclusive legal right to reproduce, perform, display, distribute and make derivative works of a work of authorship (as a literary, musical, or artistic work) recognized by the laws of any jurisdiction or country; (c) “</w:t>
      </w:r>
      <w:r>
        <w:rPr>
          <w:rFonts w:ascii="Arial" w:cs="Arial" w:eastAsia="Arial" w:hAnsi="Arial"/>
          <w:sz w:val="20"/>
          <w:szCs w:val="20"/>
          <w:b w:val="1"/>
          <w:bCs w:val="1"/>
          <w:i w:val="1"/>
          <w:iCs w:val="1"/>
          <w:color w:val="auto"/>
        </w:rPr>
        <w:t>Moral Rights</w:t>
      </w:r>
      <w:r>
        <w:rPr>
          <w:rFonts w:ascii="Arial" w:cs="Arial" w:eastAsia="Arial" w:hAnsi="Arial"/>
          <w:sz w:val="20"/>
          <w:szCs w:val="20"/>
          <w:color w:val="auto"/>
        </w:rPr>
        <w:t>” means all paternity, integrity, disclosure, withdrawal, special and any other similar rights recognized by the laws of any jurisdiction or country; (d) “</w:t>
      </w:r>
      <w:r>
        <w:rPr>
          <w:rFonts w:ascii="Arial" w:cs="Arial" w:eastAsia="Arial" w:hAnsi="Arial"/>
          <w:sz w:val="20"/>
          <w:szCs w:val="20"/>
          <w:b w:val="1"/>
          <w:bCs w:val="1"/>
          <w:i w:val="1"/>
          <w:iCs w:val="1"/>
          <w:color w:val="auto"/>
        </w:rPr>
        <w:t>Company Inventions</w:t>
      </w:r>
      <w:r>
        <w:rPr>
          <w:rFonts w:ascii="Arial" w:cs="Arial" w:eastAsia="Arial" w:hAnsi="Arial"/>
          <w:sz w:val="20"/>
          <w:szCs w:val="20"/>
          <w:color w:val="auto"/>
        </w:rPr>
        <w:t>” means any and all Inventions (and all Intellectual Property Rights with respect thereto) that are made, conceived, prepared, produced, authored, edited, amended, reduced to practice, or learned by me, either alone or with others, during the period of my employment by Company, and all printed, physical, and electronic copies, all improvements, rights, and claims related to the foregoing, and other tangible embodiments thereof; and (e) “</w:t>
      </w:r>
      <w:r>
        <w:rPr>
          <w:rFonts w:ascii="Arial" w:cs="Arial" w:eastAsia="Arial" w:hAnsi="Arial"/>
          <w:sz w:val="20"/>
          <w:szCs w:val="20"/>
          <w:b w:val="1"/>
          <w:bCs w:val="1"/>
          <w:i w:val="1"/>
          <w:iCs w:val="1"/>
          <w:color w:val="auto"/>
        </w:rPr>
        <w:t>Nonassignable Inventions</w:t>
      </w:r>
      <w:r>
        <w:rPr>
          <w:rFonts w:ascii="Arial" w:cs="Arial" w:eastAsia="Arial" w:hAnsi="Arial"/>
          <w:sz w:val="20"/>
          <w:szCs w:val="20"/>
          <w:color w:val="auto"/>
        </w:rPr>
        <w:t>” means any Inventions that I develop entirely on my own time without using any of Company’s equipment, supplies, facilities, or trade secret information, except for those Inventions that either: (i) relate at the time of conception or reduction to practice of the Invention to Company’s business, or actual or demonstrably anticipated research or development of Company; (ii) result from any work performed by me for Company; or (iii) are covered by a contract between Company and the United States or any of its agencies that requires full title to such patent or Invention to be in the United States.</w:t>
      </w:r>
    </w:p>
    <w:p>
      <w:pPr>
        <w:spacing w:after="0" w:line="61"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Prior Inventions</w:t>
      </w:r>
      <w:r>
        <w:rPr>
          <w:rFonts w:ascii="Arial" w:cs="Arial" w:eastAsia="Arial" w:hAnsi="Arial"/>
          <w:sz w:val="19"/>
          <w:szCs w:val="19"/>
          <w:color w:val="auto"/>
        </w:rPr>
        <w:t>.</w:t>
      </w:r>
    </w:p>
    <w:p>
      <w:pPr>
        <w:spacing w:after="0" w:line="148" w:lineRule="exact"/>
        <w:rPr>
          <w:sz w:val="20"/>
          <w:szCs w:val="20"/>
          <w:color w:val="auto"/>
        </w:rPr>
      </w:pPr>
    </w:p>
    <w:p>
      <w:pPr>
        <w:jc w:val="both"/>
        <w:ind w:firstLine="1305"/>
        <w:spacing w:after="0" w:line="256" w:lineRule="auto"/>
        <w:tabs>
          <w:tab w:leader="none" w:pos="1748" w:val="left"/>
        </w:tabs>
        <w:numPr>
          <w:ilvl w:val="0"/>
          <w:numId w:val="73"/>
        </w:numPr>
        <w:rPr>
          <w:rFonts w:ascii="Arial" w:cs="Arial" w:eastAsia="Arial" w:hAnsi="Arial"/>
          <w:sz w:val="20"/>
          <w:szCs w:val="20"/>
          <w:b w:val="1"/>
          <w:bCs w:val="1"/>
          <w:color w:val="auto"/>
        </w:rPr>
      </w:pPr>
      <w:r>
        <w:rPr>
          <w:rFonts w:ascii="Arial" w:cs="Arial" w:eastAsia="Arial" w:hAnsi="Arial"/>
          <w:sz w:val="22"/>
          <w:szCs w:val="22"/>
          <w:color w:val="auto"/>
        </w:rPr>
        <w:t xml:space="preserve">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is a list describing all Inventions, if any, that (a) are owned by me or in which I have an interest and that were made or acquired by me prior to my date of first employment by Company, and (b) are not to be assigned to Company (“</w:t>
      </w:r>
      <w:r>
        <w:rPr>
          <w:rFonts w:ascii="Arial" w:cs="Arial" w:eastAsia="Arial" w:hAnsi="Arial"/>
          <w:sz w:val="22"/>
          <w:szCs w:val="22"/>
          <w:b w:val="1"/>
          <w:bCs w:val="1"/>
          <w:i w:val="1"/>
          <w:iCs w:val="1"/>
          <w:color w:val="auto"/>
        </w:rPr>
        <w:t>Prior Inventions</w:t>
      </w:r>
      <w:r>
        <w:rPr>
          <w:rFonts w:ascii="Arial" w:cs="Arial" w:eastAsia="Arial" w:hAnsi="Arial"/>
          <w:sz w:val="22"/>
          <w:szCs w:val="22"/>
          <w:color w:val="auto"/>
        </w:rPr>
        <w:t>”). If no such list is attached, I represent and warrant that no Inventions that would be classified as Prior Inventions exist as of the date of this Agreement.</w:t>
      </w:r>
    </w:p>
    <w:p>
      <w:pPr>
        <w:spacing w:after="0" w:line="182" w:lineRule="exact"/>
        <w:rPr>
          <w:rFonts w:ascii="Arial" w:cs="Arial" w:eastAsia="Arial" w:hAnsi="Arial"/>
          <w:sz w:val="20"/>
          <w:szCs w:val="20"/>
          <w:b w:val="1"/>
          <w:bCs w:val="1"/>
          <w:color w:val="auto"/>
        </w:rPr>
      </w:pPr>
    </w:p>
    <w:p>
      <w:pPr>
        <w:jc w:val="both"/>
        <w:ind w:firstLine="1305"/>
        <w:spacing w:after="0" w:line="258" w:lineRule="auto"/>
        <w:tabs>
          <w:tab w:leader="none" w:pos="1732" w:val="left"/>
        </w:tabs>
        <w:numPr>
          <w:ilvl w:val="0"/>
          <w:numId w:val="73"/>
        </w:numPr>
        <w:rPr>
          <w:rFonts w:ascii="Arial" w:cs="Arial" w:eastAsia="Arial" w:hAnsi="Arial"/>
          <w:sz w:val="19"/>
          <w:szCs w:val="19"/>
          <w:b w:val="1"/>
          <w:bCs w:val="1"/>
          <w:color w:val="auto"/>
        </w:rPr>
      </w:pPr>
      <w:r>
        <w:rPr>
          <w:rFonts w:ascii="Arial" w:cs="Arial" w:eastAsia="Arial" w:hAnsi="Arial"/>
          <w:sz w:val="21"/>
          <w:szCs w:val="21"/>
          <w:color w:val="auto"/>
        </w:rPr>
        <w:t>I acknowledge and agree that if I use any Prior Inventions and/or Nonassignable Inventions in the scope of my employment, or if I include any Prior Inventions or Nonassignable Inventions in any product or service of Company, or if my rights in any Prior Inventions or any Nonassignable Inventions may block or interfere with, or may otherwise be required for, the exercise by Company of any rights assigned to Company under this Agreement (each, a “</w:t>
      </w:r>
      <w:r>
        <w:rPr>
          <w:rFonts w:ascii="Arial" w:cs="Arial" w:eastAsia="Arial" w:hAnsi="Arial"/>
          <w:sz w:val="21"/>
          <w:szCs w:val="21"/>
          <w:b w:val="1"/>
          <w:bCs w:val="1"/>
          <w:i w:val="1"/>
          <w:iCs w:val="1"/>
          <w:color w:val="auto"/>
        </w:rPr>
        <w:t>License Event</w:t>
      </w:r>
      <w:r>
        <w:rPr>
          <w:rFonts w:ascii="Arial" w:cs="Arial" w:eastAsia="Arial" w:hAnsi="Arial"/>
          <w:sz w:val="21"/>
          <w:szCs w:val="21"/>
          <w:color w:val="auto"/>
        </w:rPr>
        <w:t>”), I will immediately so notify Company in writing. Unless Company and I agree otherwise in writing as to particular Prior Inventions or Nonassignable Invention, I hereby grant to Company, (whether or not I give Company notice as required above), a non-exclusive, perpetual, transferable,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Prior Inventions and Nonassignable Inventions, provided that the foregoing license shall only apply in connection with a License Event. To the extent that any third parties have any rights in or to any Prior Inventions or any Nonassignable Inventions, I hereby represent and warrant that such third party or parties have validly and irrevocably granted to me the right to grant the license stated above.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8" w:right="239" w:bottom="1440" w:gutter="0" w:footer="0" w:header="0"/>
        </w:sectPr>
      </w:pPr>
    </w:p>
    <w:bookmarkStart w:id="77" w:name="page78"/>
    <w:bookmarkEnd w:id="77"/>
    <w:p>
      <w:pPr>
        <w:jc w:val="both"/>
        <w:ind w:firstLine="392"/>
        <w:spacing w:after="0" w:line="260"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1"/>
          <w:szCs w:val="21"/>
          <w:b w:val="1"/>
          <w:bCs w:val="1"/>
          <w:color w:val="auto"/>
        </w:rPr>
        <w:t>Assignment of Company Inventions</w:t>
      </w:r>
      <w:r>
        <w:rPr>
          <w:rFonts w:ascii="Arial" w:cs="Arial" w:eastAsia="Arial" w:hAnsi="Arial"/>
          <w:sz w:val="21"/>
          <w:szCs w:val="21"/>
          <w:color w:val="auto"/>
        </w:rPr>
        <w:t>. Except for Nonassignable Inventions, I hereby assign to Employer all my right,</w:t>
      </w:r>
      <w:r>
        <w:rPr>
          <w:rFonts w:ascii="Arial" w:cs="Arial" w:eastAsia="Arial" w:hAnsi="Arial"/>
          <w:sz w:val="20"/>
          <w:szCs w:val="20"/>
          <w:b w:val="1"/>
          <w:bCs w:val="1"/>
          <w:color w:val="auto"/>
        </w:rPr>
        <w:t xml:space="preserve"> </w:t>
      </w:r>
      <w:r>
        <w:rPr>
          <w:rFonts w:ascii="Arial" w:cs="Arial" w:eastAsia="Arial" w:hAnsi="Arial"/>
          <w:sz w:val="21"/>
          <w:szCs w:val="21"/>
          <w:color w:val="auto"/>
        </w:rPr>
        <w:t>title, and interest in and to any and all Company Inventions and all Intellectual Property Rights related thereto. Any assignment of Company Inventions (and all Intellectual Property Rights with respect thereto) hereunder includes an assignment of all Moral Rights. To the extent such Moral Rights cannot be assigned to Employer and to the extent the following is allowed by the laws in any country where Moral Rights exist, I hereby unconditionally and irrevocably waive the enforcement of such Moral Rights, and all claims and causes of action of any kind against Employer or related to Employer’s customers, with respect to such rights. I further acknowledge and agree that neither my successors-in-interest nor legal heirs retain any Moral Rights in any Company Inventions (and any Intellectual Property Rights with respect thereto). Nothing contained in this Agreement shall be construed to reduce or limit Company’s rights, title, or interest in any Company Inventions so as to be less in any respect than that Company would have had in the absence of this Agreement.</w:t>
      </w:r>
    </w:p>
    <w:p>
      <w:pPr>
        <w:spacing w:after="0" w:line="126" w:lineRule="exact"/>
        <w:rPr>
          <w:sz w:val="20"/>
          <w:szCs w:val="20"/>
          <w:color w:val="auto"/>
        </w:rPr>
      </w:pPr>
    </w:p>
    <w:p>
      <w:pPr>
        <w:jc w:val="both"/>
        <w:ind w:firstLine="405"/>
        <w:spacing w:after="0" w:line="307"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1"/>
          <w:szCs w:val="21"/>
          <w:b w:val="1"/>
          <w:bCs w:val="1"/>
          <w:color w:val="auto"/>
        </w:rPr>
        <w:t>Nonassignable Inventions</w:t>
      </w:r>
      <w:r>
        <w:rPr>
          <w:rFonts w:ascii="Arial" w:cs="Arial" w:eastAsia="Arial" w:hAnsi="Arial"/>
          <w:sz w:val="21"/>
          <w:szCs w:val="21"/>
          <w:color w:val="auto"/>
        </w:rPr>
        <w:t>. I acknowledge that, in accordance with California Labor Code section 2870(a), nothing in this</w:t>
      </w:r>
      <w:r>
        <w:rPr>
          <w:rFonts w:ascii="Arial" w:cs="Arial" w:eastAsia="Arial" w:hAnsi="Arial"/>
          <w:sz w:val="20"/>
          <w:szCs w:val="20"/>
          <w:b w:val="1"/>
          <w:bCs w:val="1"/>
          <w:color w:val="auto"/>
        </w:rPr>
        <w:t xml:space="preserve"> </w:t>
      </w:r>
      <w:r>
        <w:rPr>
          <w:rFonts w:ascii="Arial" w:cs="Arial" w:eastAsia="Arial" w:hAnsi="Arial"/>
          <w:sz w:val="21"/>
          <w:szCs w:val="21"/>
          <w:color w:val="auto"/>
        </w:rPr>
        <w:t>Agreement shall require me to assign a Nonassignable Invention to Company.</w:t>
      </w:r>
    </w:p>
    <w:p>
      <w:pPr>
        <w:spacing w:after="0" w:line="125"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20"/>
          <w:szCs w:val="20"/>
          <w:b w:val="1"/>
          <w:bCs w:val="1"/>
          <w:color w:val="auto"/>
        </w:rPr>
        <w:t xml:space="preserve">2.5 </w:t>
      </w:r>
      <w:r>
        <w:rPr>
          <w:rFonts w:ascii="Arial" w:cs="Arial" w:eastAsia="Arial" w:hAnsi="Arial"/>
          <w:sz w:val="21"/>
          <w:szCs w:val="21"/>
          <w:b w:val="1"/>
          <w:bCs w:val="1"/>
          <w:color w:val="auto"/>
        </w:rPr>
        <w:t>Obligation to Keep Company Informed</w:t>
      </w:r>
      <w:r>
        <w:rPr>
          <w:rFonts w:ascii="Arial" w:cs="Arial" w:eastAsia="Arial" w:hAnsi="Arial"/>
          <w:sz w:val="21"/>
          <w:szCs w:val="21"/>
          <w:color w:val="auto"/>
        </w:rPr>
        <w:t>. During the period of my employment, I will promptly and fully disclose to</w:t>
      </w:r>
      <w:r>
        <w:rPr>
          <w:rFonts w:ascii="Arial" w:cs="Arial" w:eastAsia="Arial" w:hAnsi="Arial"/>
          <w:sz w:val="20"/>
          <w:szCs w:val="20"/>
          <w:b w:val="1"/>
          <w:bCs w:val="1"/>
          <w:color w:val="auto"/>
        </w:rPr>
        <w:t xml:space="preserve"> </w:t>
      </w:r>
      <w:r>
        <w:rPr>
          <w:rFonts w:ascii="Arial" w:cs="Arial" w:eastAsia="Arial" w:hAnsi="Arial"/>
          <w:sz w:val="21"/>
          <w:szCs w:val="21"/>
          <w:color w:val="auto"/>
        </w:rPr>
        <w:t>Company in writing all Inventions authored, conceived, or reduced to practice by me, either alone or jointly with others. At the time of each such disclosure, I will advise Company in writing of any Inventions that constitute Nonassignable Inventions; and I will at that time provide to Company in writing all evidence necessary to substantiate that belief. Company will keep in confidence and will not use for any purpose or disclose to third parties without my consent any confidential information disclosed in writing to Company pursuant to this Agreement relating to such Inventions.</w:t>
      </w:r>
    </w:p>
    <w:p>
      <w:pPr>
        <w:spacing w:after="0" w:line="169"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2.6 </w:t>
      </w:r>
      <w:r>
        <w:rPr>
          <w:rFonts w:ascii="Arial" w:cs="Arial" w:eastAsia="Arial" w:hAnsi="Arial"/>
          <w:sz w:val="21"/>
          <w:szCs w:val="21"/>
          <w:b w:val="1"/>
          <w:bCs w:val="1"/>
          <w:color w:val="auto"/>
        </w:rPr>
        <w:t>Government or Third Party</w:t>
      </w:r>
      <w:r>
        <w:rPr>
          <w:rFonts w:ascii="Arial" w:cs="Arial" w:eastAsia="Arial" w:hAnsi="Arial"/>
          <w:sz w:val="21"/>
          <w:szCs w:val="21"/>
          <w:color w:val="auto"/>
        </w:rPr>
        <w:t>. I agree that, as directed by Company, I will assign to a third party, including without</w:t>
      </w:r>
      <w:r>
        <w:rPr>
          <w:rFonts w:ascii="Arial" w:cs="Arial" w:eastAsia="Arial" w:hAnsi="Arial"/>
          <w:sz w:val="20"/>
          <w:szCs w:val="20"/>
          <w:b w:val="1"/>
          <w:bCs w:val="1"/>
          <w:color w:val="auto"/>
        </w:rPr>
        <w:t xml:space="preserve"> </w:t>
      </w:r>
      <w:r>
        <w:rPr>
          <w:rFonts w:ascii="Arial" w:cs="Arial" w:eastAsia="Arial" w:hAnsi="Arial"/>
          <w:sz w:val="21"/>
          <w:szCs w:val="21"/>
          <w:color w:val="auto"/>
        </w:rPr>
        <w:t>limitation the United States, all my right, title, and interest in and to any particular Company Invention.</w:t>
      </w:r>
    </w:p>
    <w:p>
      <w:pPr>
        <w:spacing w:after="0" w:line="1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2.7 </w:t>
      </w:r>
      <w:r>
        <w:rPr>
          <w:rFonts w:ascii="Arial" w:cs="Arial" w:eastAsia="Arial" w:hAnsi="Arial"/>
          <w:sz w:val="21"/>
          <w:szCs w:val="21"/>
          <w:b w:val="1"/>
          <w:bCs w:val="1"/>
          <w:color w:val="auto"/>
        </w:rPr>
        <w:t>Ownership of Work Product</w:t>
      </w:r>
      <w:r>
        <w:rPr>
          <w:rFonts w:ascii="Arial" w:cs="Arial" w:eastAsia="Arial" w:hAnsi="Arial"/>
          <w:sz w:val="21"/>
          <w:szCs w:val="21"/>
          <w:color w:val="auto"/>
        </w:rPr>
        <w:t>. I acknowledge that all original works of authorship which are made by me (solely or</w:t>
      </w:r>
      <w:r>
        <w:rPr>
          <w:rFonts w:ascii="Arial" w:cs="Arial" w:eastAsia="Arial" w:hAnsi="Arial"/>
          <w:sz w:val="20"/>
          <w:szCs w:val="20"/>
          <w:b w:val="1"/>
          <w:bCs w:val="1"/>
          <w:color w:val="auto"/>
        </w:rPr>
        <w:t xml:space="preserve"> </w:t>
      </w:r>
      <w:r>
        <w:rPr>
          <w:rFonts w:ascii="Arial" w:cs="Arial" w:eastAsia="Arial" w:hAnsi="Arial"/>
          <w:sz w:val="21"/>
          <w:szCs w:val="21"/>
          <w:color w:val="auto"/>
        </w:rPr>
        <w:t>jointly with others) within the scope of my employment and which are protectable by Copyright are “works made for hire,” pursuant to United States Copyright Act (17 U.S.C., Section 101).</w:t>
      </w:r>
    </w:p>
    <w:p>
      <w:pPr>
        <w:spacing w:after="0" w:line="43" w:lineRule="exact"/>
        <w:rPr>
          <w:sz w:val="20"/>
          <w:szCs w:val="20"/>
          <w:color w:val="auto"/>
        </w:rPr>
      </w:pPr>
    </w:p>
    <w:p>
      <w:pPr>
        <w:jc w:val="both"/>
        <w:ind w:firstLine="392"/>
        <w:spacing w:after="0" w:line="275" w:lineRule="auto"/>
        <w:rPr>
          <w:sz w:val="20"/>
          <w:szCs w:val="20"/>
          <w:color w:val="auto"/>
        </w:rPr>
      </w:pPr>
      <w:r>
        <w:rPr>
          <w:rFonts w:ascii="Arial" w:cs="Arial" w:eastAsia="Arial" w:hAnsi="Arial"/>
          <w:sz w:val="19"/>
          <w:szCs w:val="19"/>
          <w:b w:val="1"/>
          <w:bCs w:val="1"/>
          <w:color w:val="auto"/>
        </w:rPr>
        <w:t xml:space="preserve">2.8 </w:t>
      </w:r>
      <w:r>
        <w:rPr>
          <w:rFonts w:ascii="Arial" w:cs="Arial" w:eastAsia="Arial" w:hAnsi="Arial"/>
          <w:sz w:val="20"/>
          <w:szCs w:val="20"/>
          <w:b w:val="1"/>
          <w:bCs w:val="1"/>
          <w:color w:val="auto"/>
        </w:rPr>
        <w:t>Enforcement of Intellectual Property Rights and Assistance</w:t>
      </w:r>
      <w:r>
        <w:rPr>
          <w:rFonts w:ascii="Arial" w:cs="Arial" w:eastAsia="Arial" w:hAnsi="Arial"/>
          <w:sz w:val="20"/>
          <w:szCs w:val="20"/>
          <w:color w:val="auto"/>
        </w:rPr>
        <w:t>. I will assist Company in every proper way to obtain, and</w:t>
      </w:r>
      <w:r>
        <w:rPr>
          <w:rFonts w:ascii="Arial" w:cs="Arial" w:eastAsia="Arial" w:hAnsi="Arial"/>
          <w:sz w:val="19"/>
          <w:szCs w:val="19"/>
          <w:b w:val="1"/>
          <w:bCs w:val="1"/>
          <w:color w:val="auto"/>
        </w:rPr>
        <w:t xml:space="preserve"> </w:t>
      </w:r>
      <w:r>
        <w:rPr>
          <w:rFonts w:ascii="Arial" w:cs="Arial" w:eastAsia="Arial" w:hAnsi="Arial"/>
          <w:sz w:val="20"/>
          <w:szCs w:val="20"/>
          <w:color w:val="auto"/>
        </w:rPr>
        <w:t>from time to time enforce, United States and foreign Intellectual Property Rights and Moral Rights relating to Company Inventions in any and all countries. To that end I will execute, verify and deliver such documents and perform such other acts (including appearances as a witness) as Company may reasonably request for use in applying for, obtaining, perfecting, evidencing, sustaining and enforcing such Intellectual Property Rights and the assignment thereof. In addition, I will execute, verify and deliver assignments of such Intellectual Property Rights to Employer or its designee, including the United States or any third party designated by Employer. My obligation to assist Company with respect to Intellectual Property Rights relating to Company Inventions in any and all countries will continue beyond the termination of my employment, but Company will compensate me at a reasonable rate after such termination for the time actually spent by me at Company’s request on such assistance. In the event Company is unable for any reason, after reasonable effort, to secure my signature on any document needed in connection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9" w:right="239" w:bottom="1440" w:gutter="0" w:footer="0" w:header="0"/>
        </w:sectPr>
      </w:pPr>
    </w:p>
    <w:bookmarkStart w:id="78" w:name="page79"/>
    <w:bookmarkEnd w:id="78"/>
    <w:p>
      <w:pPr>
        <w:jc w:val="both"/>
        <w:spacing w:after="0" w:line="247" w:lineRule="auto"/>
        <w:rPr>
          <w:sz w:val="20"/>
          <w:szCs w:val="20"/>
          <w:color w:val="auto"/>
        </w:rPr>
      </w:pPr>
      <w:r>
        <w:rPr>
          <w:rFonts w:ascii="Arial" w:cs="Arial" w:eastAsia="Arial" w:hAnsi="Arial"/>
          <w:sz w:val="22"/>
          <w:szCs w:val="22"/>
          <w:color w:val="auto"/>
        </w:rPr>
        <w:t>with the actions specified in this paragraph, I hereby irrevocably designate and appoint Employer and its duly authorized officers and agents as my agent and attorney in fact, which appointment is coupled with an interest, to act for and on my behalf to execute, verify and file any such documents and to do all other lawfully permitted acts to further the purposes of the preceding paragraph with the same legal force and effect as if executed by me. I hereby waive and quitclaim to Company any and all claims, of any nature whatsoever, which I now or may hereafter have for infringement of any Intellectual Property Rights assigned under this Agreement to Employer.</w:t>
      </w:r>
    </w:p>
    <w:p>
      <w:pPr>
        <w:spacing w:after="0" w:line="80"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2.9 </w:t>
      </w:r>
      <w:r>
        <w:rPr>
          <w:rFonts w:ascii="Arial" w:cs="Arial" w:eastAsia="Arial" w:hAnsi="Arial"/>
          <w:sz w:val="21"/>
          <w:szCs w:val="21"/>
          <w:b w:val="1"/>
          <w:bCs w:val="1"/>
          <w:color w:val="auto"/>
        </w:rPr>
        <w:t>Incorporation of Software Code</w:t>
      </w:r>
      <w:r>
        <w:rPr>
          <w:rFonts w:ascii="Arial" w:cs="Arial" w:eastAsia="Arial" w:hAnsi="Arial"/>
          <w:sz w:val="21"/>
          <w:szCs w:val="21"/>
          <w:color w:val="auto"/>
        </w:rPr>
        <w:t>. I agree that I will not incorporate into any Inventions, including any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 </w:t>
      </w:r>
      <w:r>
        <w:rPr>
          <w:rFonts w:ascii="Arial" w:cs="Arial" w:eastAsia="Arial" w:hAnsi="Arial"/>
          <w:sz w:val="21"/>
          <w:szCs w:val="21"/>
          <w:b w:val="1"/>
          <w:bCs w:val="1"/>
          <w:color w:val="auto"/>
        </w:rPr>
        <w:t>except</w:t>
      </w:r>
      <w:r>
        <w:rPr>
          <w:rFonts w:ascii="Arial" w:cs="Arial" w:eastAsia="Arial" w:hAnsi="Arial"/>
          <w:sz w:val="21"/>
          <w:szCs w:val="21"/>
          <w:color w:val="auto"/>
        </w:rPr>
        <w:t xml:space="preserve"> in strict compliance with Company’s policies regarding the use of such software.</w:t>
      </w:r>
    </w:p>
    <w:p>
      <w:pPr>
        <w:spacing w:after="0" w:line="56" w:lineRule="exact"/>
        <w:rPr>
          <w:sz w:val="20"/>
          <w:szCs w:val="20"/>
          <w:color w:val="auto"/>
        </w:rPr>
      </w:pPr>
    </w:p>
    <w:p>
      <w:pPr>
        <w:jc w:val="both"/>
        <w:ind w:firstLine="8"/>
        <w:spacing w:after="0" w:line="256" w:lineRule="auto"/>
        <w:tabs>
          <w:tab w:leader="none" w:pos="355" w:val="left"/>
        </w:tabs>
        <w:numPr>
          <w:ilvl w:val="0"/>
          <w:numId w:val="74"/>
        </w:numPr>
        <w:rPr>
          <w:rFonts w:ascii="Arial" w:cs="Arial" w:eastAsia="Arial" w:hAnsi="Arial"/>
          <w:sz w:val="20"/>
          <w:szCs w:val="20"/>
          <w:b w:val="1"/>
          <w:bCs w:val="1"/>
          <w:color w:val="auto"/>
        </w:rPr>
      </w:pPr>
      <w:r>
        <w:rPr>
          <w:rFonts w:ascii="Arial" w:cs="Arial" w:eastAsia="Arial" w:hAnsi="Arial"/>
          <w:sz w:val="22"/>
          <w:szCs w:val="22"/>
          <w:b w:val="1"/>
          <w:bCs w:val="1"/>
          <w:color w:val="auto"/>
        </w:rPr>
        <w:t>Records</w:t>
      </w:r>
      <w:r>
        <w:rPr>
          <w:rFonts w:ascii="Arial" w:cs="Arial" w:eastAsia="Arial" w:hAnsi="Arial"/>
          <w:sz w:val="22"/>
          <w:szCs w:val="22"/>
          <w:color w:val="auto"/>
        </w:rPr>
        <w:t>. I agree to keep and maintain adequate and current records (in the form of notes, sketches, drawings and in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form that is required by Company) of all Confidential Information developed by me and all Company Inventions made by me during the period of my employment at Company, which records will be available to and remain the sole property of Employer at all times.</w:t>
      </w:r>
    </w:p>
    <w:p>
      <w:pPr>
        <w:spacing w:after="0" w:line="176" w:lineRule="exact"/>
        <w:rPr>
          <w:rFonts w:ascii="Arial" w:cs="Arial" w:eastAsia="Arial" w:hAnsi="Arial"/>
          <w:sz w:val="20"/>
          <w:szCs w:val="20"/>
          <w:b w:val="1"/>
          <w:bCs w:val="1"/>
          <w:color w:val="auto"/>
        </w:rPr>
      </w:pPr>
    </w:p>
    <w:p>
      <w:pPr>
        <w:jc w:val="both"/>
        <w:ind w:firstLine="8"/>
        <w:spacing w:after="0" w:line="262" w:lineRule="auto"/>
        <w:tabs>
          <w:tab w:leader="none" w:pos="409" w:val="left"/>
        </w:tabs>
        <w:numPr>
          <w:ilvl w:val="0"/>
          <w:numId w:val="74"/>
        </w:numPr>
        <w:rPr>
          <w:rFonts w:ascii="Arial" w:cs="Arial" w:eastAsia="Arial" w:hAnsi="Arial"/>
          <w:sz w:val="20"/>
          <w:szCs w:val="20"/>
          <w:b w:val="1"/>
          <w:bCs w:val="1"/>
          <w:color w:val="auto"/>
        </w:rPr>
      </w:pPr>
      <w:r>
        <w:rPr>
          <w:rFonts w:ascii="Arial" w:cs="Arial" w:eastAsia="Arial" w:hAnsi="Arial"/>
          <w:sz w:val="22"/>
          <w:szCs w:val="22"/>
          <w:b w:val="1"/>
          <w:bCs w:val="1"/>
          <w:color w:val="auto"/>
        </w:rPr>
        <w:t>Duty of Loyalty During Employment</w:t>
      </w:r>
      <w:r>
        <w:rPr>
          <w:rFonts w:ascii="Arial" w:cs="Arial" w:eastAsia="Arial" w:hAnsi="Arial"/>
          <w:sz w:val="22"/>
          <w:szCs w:val="22"/>
          <w:color w:val="auto"/>
        </w:rPr>
        <w:t>. I agree that during the period of my employment by Company, I will not,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express written consent, directly or indirectly engage in any employment or business activity which is directly or indirectly competitive with, or would otherwise conflict with, my employment by Company.</w:t>
      </w:r>
    </w:p>
    <w:p>
      <w:pPr>
        <w:spacing w:after="0" w:line="62" w:lineRule="exact"/>
        <w:rPr>
          <w:rFonts w:ascii="Arial" w:cs="Arial" w:eastAsia="Arial" w:hAnsi="Arial"/>
          <w:sz w:val="20"/>
          <w:szCs w:val="20"/>
          <w:b w:val="1"/>
          <w:bCs w:val="1"/>
          <w:color w:val="auto"/>
        </w:rPr>
      </w:pPr>
    </w:p>
    <w:p>
      <w:pPr>
        <w:jc w:val="both"/>
        <w:ind w:firstLine="8"/>
        <w:spacing w:after="0" w:line="265" w:lineRule="auto"/>
        <w:tabs>
          <w:tab w:leader="none" w:pos="342" w:val="left"/>
        </w:tabs>
        <w:numPr>
          <w:ilvl w:val="0"/>
          <w:numId w:val="74"/>
        </w:numPr>
        <w:rPr>
          <w:rFonts w:ascii="Arial" w:cs="Arial" w:eastAsia="Arial" w:hAnsi="Arial"/>
          <w:sz w:val="19"/>
          <w:szCs w:val="19"/>
          <w:b w:val="1"/>
          <w:bCs w:val="1"/>
          <w:color w:val="auto"/>
        </w:rPr>
      </w:pPr>
      <w:r>
        <w:rPr>
          <w:rFonts w:ascii="Arial" w:cs="Arial" w:eastAsia="Arial" w:hAnsi="Arial"/>
          <w:sz w:val="21"/>
          <w:szCs w:val="21"/>
          <w:b w:val="1"/>
          <w:bCs w:val="1"/>
          <w:color w:val="auto"/>
        </w:rPr>
        <w:t>No Solicitation of Employees, Consultants or Contractors</w:t>
      </w:r>
      <w:r>
        <w:rPr>
          <w:rFonts w:ascii="Arial" w:cs="Arial" w:eastAsia="Arial" w:hAnsi="Arial"/>
          <w:sz w:val="21"/>
          <w:szCs w:val="21"/>
          <w:color w:val="auto"/>
        </w:rPr>
        <w:t>. I agree that during the period of my employment and for the one</w:t>
      </w:r>
      <w:r>
        <w:rPr>
          <w:rFonts w:ascii="Arial" w:cs="Arial" w:eastAsia="Arial" w:hAnsi="Arial"/>
          <w:sz w:val="21"/>
          <w:szCs w:val="21"/>
          <w:b w:val="1"/>
          <w:bCs w:val="1"/>
          <w:color w:val="auto"/>
        </w:rPr>
        <w:t xml:space="preserve"> </w:t>
      </w:r>
      <w:r>
        <w:rPr>
          <w:rFonts w:ascii="Arial" w:cs="Arial" w:eastAsia="Arial" w:hAnsi="Arial"/>
          <w:sz w:val="21"/>
          <w:szCs w:val="21"/>
          <w:color w:val="auto"/>
        </w:rPr>
        <w:t>year period after the date my employment ends for any reason, including but not limited to voluntary termination by me or involuntary termination by Company, I will not, as an officer, director, employee, consultant, owner, partner, or in any other capacity, either directly or through others, except on behalf of Company, solicit, induce, encourage, or participate in soliciting, inducing or encouraging any person known to me to be an employee, consultant, or independent contractor of Company to terminate his or her relationship with Company, even if I did not initiate the discussion or seek out the contact.</w:t>
      </w:r>
    </w:p>
    <w:p>
      <w:pPr>
        <w:spacing w:after="0" w:line="61" w:lineRule="exact"/>
        <w:rPr>
          <w:rFonts w:ascii="Arial" w:cs="Arial" w:eastAsia="Arial" w:hAnsi="Arial"/>
          <w:sz w:val="19"/>
          <w:szCs w:val="19"/>
          <w:b w:val="1"/>
          <w:bCs w:val="1"/>
          <w:color w:val="auto"/>
        </w:rPr>
      </w:pPr>
    </w:p>
    <w:p>
      <w:pPr>
        <w:ind w:left="340" w:hanging="332"/>
        <w:spacing w:after="0"/>
        <w:tabs>
          <w:tab w:leader="none" w:pos="340" w:val="left"/>
        </w:tabs>
        <w:numPr>
          <w:ilvl w:val="0"/>
          <w:numId w:val="74"/>
        </w:numPr>
        <w:rPr>
          <w:rFonts w:ascii="Arial" w:cs="Arial" w:eastAsia="Arial" w:hAnsi="Arial"/>
          <w:sz w:val="20"/>
          <w:szCs w:val="20"/>
          <w:b w:val="1"/>
          <w:bCs w:val="1"/>
          <w:color w:val="auto"/>
        </w:rPr>
      </w:pPr>
      <w:r>
        <w:rPr>
          <w:rFonts w:ascii="Arial" w:cs="Arial" w:eastAsia="Arial" w:hAnsi="Arial"/>
          <w:sz w:val="22"/>
          <w:szCs w:val="22"/>
          <w:b w:val="1"/>
          <w:bCs w:val="1"/>
          <w:color w:val="auto"/>
        </w:rPr>
        <w:t>Reasonableness of Restrictions</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20"/>
          <w:szCs w:val="20"/>
          <w:color w:val="auto"/>
        </w:rPr>
        <w:t>I agree that I have read this entire Agreement and understand it. I agree that this Agreement does not prevent me from</w:t>
      </w:r>
      <w:r>
        <w:rPr>
          <w:rFonts w:ascii="Arial" w:cs="Arial" w:eastAsia="Arial" w:hAnsi="Arial"/>
          <w:sz w:val="19"/>
          <w:szCs w:val="19"/>
          <w:b w:val="1"/>
          <w:bCs w:val="1"/>
          <w:color w:val="auto"/>
        </w:rPr>
        <w:t xml:space="preserve"> </w:t>
      </w:r>
      <w:r>
        <w:rPr>
          <w:rFonts w:ascii="Arial" w:cs="Arial" w:eastAsia="Arial" w:hAnsi="Arial"/>
          <w:sz w:val="20"/>
          <w:szCs w:val="20"/>
          <w:color w:val="auto"/>
        </w:rPr>
        <w:t>earning a living or pursuing my career. I agree that the restrictions contained in this Agreement are reasonable, proper, and necessitated by Company’s legitimate business interests. I represent and agree that I am entering into this Agreement freely and with knowledge of its contents with the intent to be bound by the Agreement and the restrictions contained in it.</w:t>
      </w:r>
    </w:p>
    <w:p>
      <w:pPr>
        <w:spacing w:after="0" w:line="1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1"/>
          <w:szCs w:val="21"/>
          <w:color w:val="auto"/>
        </w:rPr>
        <w:t>In the event that a court finds this Agreement, or any of its restrictions, to be ambiguous, unenforceable, or invalid, I</w:t>
      </w:r>
      <w:r>
        <w:rPr>
          <w:rFonts w:ascii="Arial" w:cs="Arial" w:eastAsia="Arial" w:hAnsi="Arial"/>
          <w:sz w:val="20"/>
          <w:szCs w:val="20"/>
          <w:b w:val="1"/>
          <w:bCs w:val="1"/>
          <w:color w:val="auto"/>
        </w:rPr>
        <w:t xml:space="preserve"> </w:t>
      </w:r>
      <w:r>
        <w:rPr>
          <w:rFonts w:ascii="Arial" w:cs="Arial" w:eastAsia="Arial" w:hAnsi="Arial"/>
          <w:sz w:val="21"/>
          <w:szCs w:val="21"/>
          <w:color w:val="auto"/>
        </w:rPr>
        <w:t>and Company agree that the court will read the Agreement as a whole and interpret the restriction(s) at issue to be enforceable and valid to the maximum extent allowed by law.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75" w:right="239" w:bottom="1440" w:gutter="0" w:footer="0" w:header="0"/>
        </w:sectPr>
      </w:pPr>
    </w:p>
    <w:bookmarkStart w:id="79" w:name="page80"/>
    <w:bookmarkEnd w:id="79"/>
    <w:p>
      <w:pPr>
        <w:jc w:val="both"/>
        <w:ind w:firstLine="648"/>
        <w:spacing w:after="0" w:line="278" w:lineRule="auto"/>
        <w:rPr>
          <w:sz w:val="20"/>
          <w:szCs w:val="20"/>
          <w:color w:val="auto"/>
        </w:rPr>
      </w:pPr>
      <w:r>
        <w:rPr>
          <w:rFonts w:ascii="Arial" w:cs="Arial" w:eastAsia="Arial" w:hAnsi="Arial"/>
          <w:sz w:val="20"/>
          <w:szCs w:val="20"/>
          <w:b w:val="1"/>
          <w:bCs w:val="1"/>
          <w:color w:val="auto"/>
        </w:rPr>
        <w:t xml:space="preserve">6.3 </w:t>
      </w:r>
      <w:r>
        <w:rPr>
          <w:rFonts w:ascii="Arial" w:cs="Arial" w:eastAsia="Arial" w:hAnsi="Arial"/>
          <w:sz w:val="21"/>
          <w:szCs w:val="21"/>
          <w:color w:val="auto"/>
        </w:rPr>
        <w:t>If the court declines to enforce this Agreement in the manner provided in subsection 6.2 and/or Section 12.1,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and I agree that this Agreement will be automatically modified to provide Company with the maximum protection of its business interests allowed by law and I agree to be bound by this Agreement as modified.</w:t>
      </w:r>
    </w:p>
    <w:p>
      <w:pPr>
        <w:spacing w:after="0" w:line="154" w:lineRule="exact"/>
        <w:rPr>
          <w:sz w:val="20"/>
          <w:szCs w:val="20"/>
          <w:color w:val="auto"/>
        </w:rPr>
      </w:pPr>
    </w:p>
    <w:p>
      <w:pPr>
        <w:jc w:val="both"/>
        <w:ind w:firstLine="8"/>
        <w:spacing w:after="0" w:line="256" w:lineRule="auto"/>
        <w:tabs>
          <w:tab w:leader="none" w:pos="436" w:val="left"/>
        </w:tabs>
        <w:numPr>
          <w:ilvl w:val="0"/>
          <w:numId w:val="75"/>
        </w:numPr>
        <w:rPr>
          <w:rFonts w:ascii="Arial" w:cs="Arial" w:eastAsia="Arial" w:hAnsi="Arial"/>
          <w:sz w:val="20"/>
          <w:szCs w:val="20"/>
          <w:b w:val="1"/>
          <w:bCs w:val="1"/>
          <w:color w:val="auto"/>
        </w:rPr>
      </w:pPr>
      <w:r>
        <w:rPr>
          <w:rFonts w:ascii="Arial" w:cs="Arial" w:eastAsia="Arial" w:hAnsi="Arial"/>
          <w:sz w:val="22"/>
          <w:szCs w:val="22"/>
          <w:b w:val="1"/>
          <w:bCs w:val="1"/>
          <w:color w:val="auto"/>
        </w:rPr>
        <w:t>No Conflicting Agreement or Obligation</w:t>
      </w:r>
      <w:r>
        <w:rPr>
          <w:rFonts w:ascii="Arial" w:cs="Arial" w:eastAsia="Arial" w:hAnsi="Arial"/>
          <w:sz w:val="22"/>
          <w:szCs w:val="22"/>
          <w:color w:val="auto"/>
        </w:rPr>
        <w:t>. I represent that my performance of all the terms of this Agreement and as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Company does not and will not breach any agreement to keep in confidence information acquired by me in confidence or in trust prior to my employment by Company. I have not entered into, and I agree I will not enter into, any agreement either written or oral in conflict with this Agreement.</w:t>
      </w:r>
    </w:p>
    <w:p>
      <w:pPr>
        <w:spacing w:after="0" w:line="68" w:lineRule="exact"/>
        <w:rPr>
          <w:rFonts w:ascii="Arial" w:cs="Arial" w:eastAsia="Arial" w:hAnsi="Arial"/>
          <w:sz w:val="20"/>
          <w:szCs w:val="20"/>
          <w:b w:val="1"/>
          <w:bCs w:val="1"/>
          <w:color w:val="auto"/>
        </w:rPr>
      </w:pPr>
    </w:p>
    <w:p>
      <w:pPr>
        <w:jc w:val="both"/>
        <w:ind w:firstLine="8"/>
        <w:spacing w:after="0" w:line="259" w:lineRule="auto"/>
        <w:tabs>
          <w:tab w:leader="none" w:pos="342" w:val="left"/>
        </w:tabs>
        <w:numPr>
          <w:ilvl w:val="0"/>
          <w:numId w:val="75"/>
        </w:numPr>
        <w:rPr>
          <w:rFonts w:ascii="Arial" w:cs="Arial" w:eastAsia="Arial" w:hAnsi="Arial"/>
          <w:sz w:val="19"/>
          <w:szCs w:val="19"/>
          <w:b w:val="1"/>
          <w:bCs w:val="1"/>
          <w:color w:val="auto"/>
        </w:rPr>
      </w:pPr>
      <w:r>
        <w:rPr>
          <w:rFonts w:ascii="Arial" w:cs="Arial" w:eastAsia="Arial" w:hAnsi="Arial"/>
          <w:sz w:val="21"/>
          <w:szCs w:val="21"/>
          <w:b w:val="1"/>
          <w:bCs w:val="1"/>
          <w:color w:val="auto"/>
        </w:rPr>
        <w:t>Return of Company Property</w:t>
      </w:r>
      <w:r>
        <w:rPr>
          <w:rFonts w:ascii="Arial" w:cs="Arial" w:eastAsia="Arial" w:hAnsi="Arial"/>
          <w:sz w:val="21"/>
          <w:szCs w:val="21"/>
          <w:color w:val="auto"/>
        </w:rPr>
        <w:t>. When I leave the employ of Company, I will deliver to Employer any and all drawings, notes,</w:t>
      </w:r>
      <w:r>
        <w:rPr>
          <w:rFonts w:ascii="Arial" w:cs="Arial" w:eastAsia="Arial" w:hAnsi="Arial"/>
          <w:sz w:val="21"/>
          <w:szCs w:val="21"/>
          <w:b w:val="1"/>
          <w:bCs w:val="1"/>
          <w:color w:val="auto"/>
        </w:rPr>
        <w:t xml:space="preserve"> </w:t>
      </w:r>
      <w:r>
        <w:rPr>
          <w:rFonts w:ascii="Arial" w:cs="Arial" w:eastAsia="Arial" w:hAnsi="Arial"/>
          <w:sz w:val="21"/>
          <w:szCs w:val="21"/>
          <w:color w:val="auto"/>
        </w:rPr>
        <w:t>memoranda, specifications, devices, formulas and documents, together with all copies thereof, and any other material containing or disclosing any Company Inventions, Third Party Information or Confidential Information.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Company with a computer-useable copy of all such information and then permanently delete and expunge such information from those systems; and I agree to provide Company access to my system as reasonably requested to verify that the necessary copying and/or deletion is completed. I further agree that any property situated on Company’s premises and owned by Company, including disks and other storage media, filing cabinets or other work areas, is subject to inspection by Company’s personnel at any time with or without notice. Prior to leaving, I will cooperate with Company in attending an exit interview and completing and signing Company’s termination statement if required to do so by Company.</w:t>
      </w:r>
    </w:p>
    <w:p>
      <w:pPr>
        <w:spacing w:after="0" w:line="73" w:lineRule="exact"/>
        <w:rPr>
          <w:rFonts w:ascii="Arial" w:cs="Arial" w:eastAsia="Arial" w:hAnsi="Arial"/>
          <w:sz w:val="19"/>
          <w:szCs w:val="19"/>
          <w:b w:val="1"/>
          <w:bCs w:val="1"/>
          <w:color w:val="auto"/>
        </w:rPr>
      </w:pPr>
    </w:p>
    <w:p>
      <w:pPr>
        <w:ind w:left="340" w:hanging="332"/>
        <w:spacing w:after="0"/>
        <w:tabs>
          <w:tab w:leader="none" w:pos="340" w:val="left"/>
        </w:tabs>
        <w:numPr>
          <w:ilvl w:val="0"/>
          <w:numId w:val="75"/>
        </w:numPr>
        <w:rPr>
          <w:rFonts w:ascii="Arial" w:cs="Arial" w:eastAsia="Arial" w:hAnsi="Arial"/>
          <w:sz w:val="20"/>
          <w:szCs w:val="20"/>
          <w:b w:val="1"/>
          <w:bCs w:val="1"/>
          <w:color w:val="auto"/>
        </w:rPr>
      </w:pPr>
      <w:r>
        <w:rPr>
          <w:rFonts w:ascii="Arial" w:cs="Arial" w:eastAsia="Arial" w:hAnsi="Arial"/>
          <w:sz w:val="22"/>
          <w:szCs w:val="22"/>
          <w:b w:val="1"/>
          <w:bCs w:val="1"/>
          <w:color w:val="auto"/>
        </w:rPr>
        <w:t>Legal and Equitable Remedies</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1"/>
          <w:szCs w:val="21"/>
          <w:color w:val="auto"/>
        </w:rPr>
        <w:t>I agree that it may be impossible to assess the damages caused by my violation of this Agreement or any of its terms. I</w:t>
      </w:r>
      <w:r>
        <w:rPr>
          <w:rFonts w:ascii="Arial" w:cs="Arial" w:eastAsia="Arial" w:hAnsi="Arial"/>
          <w:sz w:val="20"/>
          <w:szCs w:val="20"/>
          <w:b w:val="1"/>
          <w:bCs w:val="1"/>
          <w:color w:val="auto"/>
        </w:rPr>
        <w:t xml:space="preserve"> </w:t>
      </w:r>
      <w:r>
        <w:rPr>
          <w:rFonts w:ascii="Arial" w:cs="Arial" w:eastAsia="Arial" w:hAnsi="Arial"/>
          <w:sz w:val="21"/>
          <w:szCs w:val="21"/>
          <w:color w:val="auto"/>
        </w:rPr>
        <w:t>agree that any threatened or actual violation of this Agreement or any of its terms will constitute immediate and irreparable injury to Company, and Company will have the right to enforce this Agreement and any of its provisions by injunction, specific performance or other equitable relief, without bond and without prejudice to any other rights and remedies that Company may have for a breach or threatened breach of this Agreement.</w:t>
      </w:r>
    </w:p>
    <w:p>
      <w:pPr>
        <w:spacing w:after="0" w:line="1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0"/>
          <w:szCs w:val="20"/>
          <w:b w:val="1"/>
          <w:bCs w:val="1"/>
          <w:color w:val="auto"/>
        </w:rPr>
        <w:t xml:space="preserve">9.2 </w:t>
      </w:r>
      <w:r>
        <w:rPr>
          <w:rFonts w:ascii="Arial" w:cs="Arial" w:eastAsia="Arial" w:hAnsi="Arial"/>
          <w:sz w:val="21"/>
          <w:szCs w:val="21"/>
          <w:color w:val="auto"/>
        </w:rPr>
        <w:t>In the event Company enforces this Agreement through a court order, I agree that the restrictions of Section 5 will</w:t>
      </w:r>
      <w:r>
        <w:rPr>
          <w:rFonts w:ascii="Arial" w:cs="Arial" w:eastAsia="Arial" w:hAnsi="Arial"/>
          <w:sz w:val="20"/>
          <w:szCs w:val="20"/>
          <w:b w:val="1"/>
          <w:bCs w:val="1"/>
          <w:color w:val="auto"/>
        </w:rPr>
        <w:t xml:space="preserve"> </w:t>
      </w:r>
      <w:r>
        <w:rPr>
          <w:rFonts w:ascii="Arial" w:cs="Arial" w:eastAsia="Arial" w:hAnsi="Arial"/>
          <w:sz w:val="21"/>
          <w:szCs w:val="21"/>
          <w:color w:val="auto"/>
        </w:rPr>
        <w:t>remain in effect for a period of 12 months from the effective date of the Order enforcing the Agreement.</w:t>
      </w:r>
    </w:p>
    <w:p>
      <w:pPr>
        <w:spacing w:after="0" w:line="131" w:lineRule="exact"/>
        <w:rPr>
          <w:sz w:val="20"/>
          <w:szCs w:val="20"/>
          <w:color w:val="auto"/>
        </w:rPr>
      </w:pPr>
    </w:p>
    <w:p>
      <w:pPr>
        <w:jc w:val="both"/>
        <w:ind w:firstLine="8"/>
        <w:spacing w:after="0" w:line="298" w:lineRule="auto"/>
        <w:tabs>
          <w:tab w:leader="none" w:pos="441" w:val="left"/>
        </w:tabs>
        <w:numPr>
          <w:ilvl w:val="0"/>
          <w:numId w:val="76"/>
        </w:numPr>
        <w:rPr>
          <w:rFonts w:ascii="Arial" w:cs="Arial" w:eastAsia="Arial" w:hAnsi="Arial"/>
          <w:sz w:val="18"/>
          <w:szCs w:val="18"/>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notices required or permitted under this Agreement will be given to Company at its headquarters location at the</w:t>
      </w:r>
      <w:r>
        <w:rPr>
          <w:rFonts w:ascii="Arial" w:cs="Arial" w:eastAsia="Arial" w:hAnsi="Arial"/>
          <w:sz w:val="19"/>
          <w:szCs w:val="19"/>
          <w:b w:val="1"/>
          <w:bCs w:val="1"/>
          <w:color w:val="auto"/>
        </w:rPr>
        <w:t xml:space="preserve"> </w:t>
      </w:r>
      <w:r>
        <w:rPr>
          <w:rFonts w:ascii="Arial" w:cs="Arial" w:eastAsia="Arial" w:hAnsi="Arial"/>
          <w:sz w:val="19"/>
          <w:szCs w:val="19"/>
          <w:color w:val="auto"/>
        </w:rPr>
        <w:t>time notice is given, labeled “Attention Chief Executive Officer,” and to me at my address as listed on Company payroll, or at such other address as Company or I may designate by written notice to the other. Notice will be effective upon receipt or refusal of delivery. If delivered by certified or registered mail, notice will be considered to have been given five business days after it was mailed, as evidenced by the postmark. If delivered by courier or express mail service, notice will be considered to have been given on the delivery date reflected by the courier or express mail service receipt.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75" w:right="239" w:bottom="1440" w:gutter="0" w:footer="0" w:header="0"/>
        </w:sectPr>
      </w:pPr>
    </w:p>
    <w:bookmarkStart w:id="80" w:name="page81"/>
    <w:bookmarkEnd w:id="80"/>
    <w:p>
      <w:pPr>
        <w:ind w:left="420" w:hanging="412"/>
        <w:spacing w:after="0"/>
        <w:tabs>
          <w:tab w:leader="none" w:pos="420" w:val="left"/>
        </w:tabs>
        <w:numPr>
          <w:ilvl w:val="0"/>
          <w:numId w:val="77"/>
        </w:numPr>
        <w:rPr>
          <w:rFonts w:ascii="Arial" w:cs="Arial" w:eastAsia="Arial" w:hAnsi="Arial"/>
          <w:sz w:val="20"/>
          <w:szCs w:val="20"/>
          <w:b w:val="1"/>
          <w:bCs w:val="1"/>
          <w:color w:val="auto"/>
        </w:rPr>
      </w:pPr>
      <w:r>
        <w:rPr>
          <w:rFonts w:ascii="Arial" w:cs="Arial" w:eastAsia="Arial" w:hAnsi="Arial"/>
          <w:sz w:val="22"/>
          <w:szCs w:val="22"/>
          <w:b w:val="1"/>
          <w:bCs w:val="1"/>
          <w:color w:val="auto"/>
        </w:rPr>
        <w:t>Publication of This Agreement to Subsequent Employer or Business Associates of Employee</w:t>
      </w:r>
      <w:r>
        <w:rPr>
          <w:rFonts w:ascii="Arial" w:cs="Arial" w:eastAsia="Arial" w:hAnsi="Arial"/>
          <w:sz w:val="22"/>
          <w:szCs w:val="22"/>
          <w:color w:val="auto"/>
        </w:rPr>
        <w:t>.</w:t>
      </w:r>
    </w:p>
    <w:p>
      <w:pPr>
        <w:spacing w:after="0" w:line="1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20"/>
          <w:szCs w:val="20"/>
          <w:color w:val="auto"/>
        </w:rPr>
        <w:t>If I am offered employment or the opportunity to enter into any business venture as owner, partner, consultant or other</w:t>
      </w:r>
      <w:r>
        <w:rPr>
          <w:rFonts w:ascii="Arial" w:cs="Arial" w:eastAsia="Arial" w:hAnsi="Arial"/>
          <w:sz w:val="19"/>
          <w:szCs w:val="19"/>
          <w:b w:val="1"/>
          <w:bCs w:val="1"/>
          <w:color w:val="auto"/>
        </w:rPr>
        <w:t xml:space="preserve"> </w:t>
      </w:r>
      <w:r>
        <w:rPr>
          <w:rFonts w:ascii="Arial" w:cs="Arial" w:eastAsia="Arial" w:hAnsi="Arial"/>
          <w:sz w:val="20"/>
          <w:szCs w:val="20"/>
          <w:color w:val="auto"/>
        </w:rPr>
        <w:t>capacity while the restrictions described in Sections 4 and 5 of this Agreement are in effect I agree to inform my potential employer, partner, co-owner and/or others involved in managing the business with which I have an opportunity to be associated of my obligations under this Agreement and also agree to provide such person or persons with a copy of this Agreement.</w:t>
      </w:r>
    </w:p>
    <w:p>
      <w:pPr>
        <w:spacing w:after="0" w:line="1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20"/>
          <w:szCs w:val="20"/>
          <w:b w:val="1"/>
          <w:bCs w:val="1"/>
          <w:color w:val="auto"/>
        </w:rPr>
        <w:t xml:space="preserve">11.2 </w:t>
      </w:r>
      <w:r>
        <w:rPr>
          <w:rFonts w:ascii="Arial" w:cs="Arial" w:eastAsia="Arial" w:hAnsi="Arial"/>
          <w:sz w:val="21"/>
          <w:szCs w:val="21"/>
          <w:color w:val="auto"/>
        </w:rPr>
        <w:t>I agree to inform Company of all employment and business ventures which I enter into while the restrictions described in</w:t>
      </w:r>
      <w:r>
        <w:rPr>
          <w:rFonts w:ascii="Arial" w:cs="Arial" w:eastAsia="Arial" w:hAnsi="Arial"/>
          <w:sz w:val="20"/>
          <w:szCs w:val="20"/>
          <w:b w:val="1"/>
          <w:bCs w:val="1"/>
          <w:color w:val="auto"/>
        </w:rPr>
        <w:t xml:space="preserve"> </w:t>
      </w:r>
      <w:r>
        <w:rPr>
          <w:rFonts w:ascii="Arial" w:cs="Arial" w:eastAsia="Arial" w:hAnsi="Arial"/>
          <w:sz w:val="21"/>
          <w:szCs w:val="21"/>
          <w:color w:val="auto"/>
        </w:rPr>
        <w:t>Section 5 of this Agreement are in effect and I also authorize Company to provide copies of this Agreement to my employer, partner, co-owner and/or others involved in managing the business with which I am employed or associated and to make such persons aware of my obligations under this Agreement.</w:t>
      </w:r>
    </w:p>
    <w:p>
      <w:pPr>
        <w:spacing w:after="0" w:line="163" w:lineRule="exact"/>
        <w:rPr>
          <w:sz w:val="20"/>
          <w:szCs w:val="20"/>
          <w:color w:val="auto"/>
        </w:rPr>
      </w:pPr>
    </w:p>
    <w:p>
      <w:pPr>
        <w:ind w:left="440" w:hanging="432"/>
        <w:spacing w:after="0"/>
        <w:tabs>
          <w:tab w:leader="none" w:pos="440" w:val="left"/>
        </w:tabs>
        <w:numPr>
          <w:ilvl w:val="0"/>
          <w:numId w:val="78"/>
        </w:numPr>
        <w:rPr>
          <w:rFonts w:ascii="Arial" w:cs="Arial" w:eastAsia="Arial" w:hAnsi="Arial"/>
          <w:sz w:val="20"/>
          <w:szCs w:val="20"/>
          <w:b w:val="1"/>
          <w:bCs w:val="1"/>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12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20"/>
          <w:szCs w:val="20"/>
          <w:b w:val="1"/>
          <w:bCs w:val="1"/>
          <w:color w:val="auto"/>
        </w:rPr>
        <w:t>Governing Law; Consent to Personal Jurisdiction</w:t>
      </w:r>
      <w:r>
        <w:rPr>
          <w:rFonts w:ascii="Arial" w:cs="Arial" w:eastAsia="Arial" w:hAnsi="Arial"/>
          <w:sz w:val="20"/>
          <w:szCs w:val="20"/>
          <w:color w:val="auto"/>
        </w:rPr>
        <w:t>. This Agreement will be governed by and construed according to</w:t>
      </w:r>
      <w:r>
        <w:rPr>
          <w:rFonts w:ascii="Arial" w:cs="Arial" w:eastAsia="Arial" w:hAnsi="Arial"/>
          <w:sz w:val="19"/>
          <w:szCs w:val="19"/>
          <w:b w:val="1"/>
          <w:bCs w:val="1"/>
          <w:color w:val="auto"/>
        </w:rPr>
        <w:t xml:space="preserve"> </w:t>
      </w:r>
      <w:r>
        <w:rPr>
          <w:rFonts w:ascii="Arial" w:cs="Arial" w:eastAsia="Arial" w:hAnsi="Arial"/>
          <w:sz w:val="20"/>
          <w:szCs w:val="20"/>
          <w:color w:val="auto"/>
        </w:rPr>
        <w:t>the laws of the State of California without regard to any conflict of laws principles that would require the application of the laws of a different jurisdiction. I hereby expressly consent to the personal jurisdiction and venue of the state and federal courts located in California for any lawsuit filed there against me by Company arising from or related to this Agreement.</w:t>
      </w:r>
    </w:p>
    <w:p>
      <w:pPr>
        <w:spacing w:after="0" w:line="3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9"/>
          <w:szCs w:val="19"/>
          <w:b w:val="1"/>
          <w:bCs w:val="1"/>
          <w:color w:val="auto"/>
        </w:rPr>
        <w:t>Severability</w:t>
      </w:r>
      <w:r>
        <w:rPr>
          <w:rFonts w:ascii="Arial" w:cs="Arial" w:eastAsia="Arial" w:hAnsi="Arial"/>
          <w:sz w:val="19"/>
          <w:szCs w:val="19"/>
          <w:color w:val="auto"/>
        </w:rPr>
        <w:t>. In case any one or more of the provisions, subsections, or sentences contained in this Agreement will,</w:t>
      </w:r>
      <w:r>
        <w:rPr>
          <w:rFonts w:ascii="Arial" w:cs="Arial" w:eastAsia="Arial" w:hAnsi="Arial"/>
          <w:sz w:val="18"/>
          <w:szCs w:val="18"/>
          <w:b w:val="1"/>
          <w:bCs w:val="1"/>
          <w:color w:val="auto"/>
        </w:rPr>
        <w:t xml:space="preserve"> </w:t>
      </w:r>
      <w:r>
        <w:rPr>
          <w:rFonts w:ascii="Arial" w:cs="Arial" w:eastAsia="Arial" w:hAnsi="Arial"/>
          <w:sz w:val="19"/>
          <w:szCs w:val="19"/>
          <w:color w:val="auto"/>
        </w:rPr>
        <w:t>for any reason, be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moreover, any one or more of the provisions contained in this Agreement will for any reason be held to be excessively broad as to duration, geographical scope, activity or subject, it will be construed by limiting and reducing it, so as to be enforceable to the extent compatible with the applicable law as it will then appear.</w:t>
      </w:r>
    </w:p>
    <w:p>
      <w:pPr>
        <w:spacing w:after="0" w:line="141"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1"/>
          <w:szCs w:val="21"/>
          <w:b w:val="1"/>
          <w:bCs w:val="1"/>
          <w:color w:val="auto"/>
        </w:rPr>
        <w:t>Successors and Assigns</w:t>
      </w:r>
      <w:r>
        <w:rPr>
          <w:rFonts w:ascii="Arial" w:cs="Arial" w:eastAsia="Arial" w:hAnsi="Arial"/>
          <w:sz w:val="21"/>
          <w:szCs w:val="21"/>
          <w:color w:val="auto"/>
        </w:rPr>
        <w:t>. This Agreement is for my benefit and the benefit of Company and its and their successors,</w:t>
      </w:r>
      <w:r>
        <w:rPr>
          <w:rFonts w:ascii="Arial" w:cs="Arial" w:eastAsia="Arial" w:hAnsi="Arial"/>
          <w:sz w:val="20"/>
          <w:szCs w:val="20"/>
          <w:b w:val="1"/>
          <w:bCs w:val="1"/>
          <w:color w:val="auto"/>
        </w:rPr>
        <w:t xml:space="preserve"> </w:t>
      </w:r>
      <w:r>
        <w:rPr>
          <w:rFonts w:ascii="Arial" w:cs="Arial" w:eastAsia="Arial" w:hAnsi="Arial"/>
          <w:sz w:val="21"/>
          <w:szCs w:val="21"/>
          <w:color w:val="auto"/>
        </w:rPr>
        <w:t>assigns, parent corporations, subsidiaries, affiliates, and purchasers, and will be binding upon my heirs, executors, administrators and other legal representatives.</w:t>
      </w:r>
    </w:p>
    <w:p>
      <w:pPr>
        <w:spacing w:after="0" w:line="43"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1"/>
          <w:szCs w:val="21"/>
          <w:b w:val="1"/>
          <w:bCs w:val="1"/>
          <w:color w:val="auto"/>
        </w:rPr>
        <w:t>Survival</w:t>
      </w:r>
      <w:r>
        <w:rPr>
          <w:rFonts w:ascii="Arial" w:cs="Arial" w:eastAsia="Arial" w:hAnsi="Arial"/>
          <w:sz w:val="21"/>
          <w:szCs w:val="21"/>
          <w:color w:val="auto"/>
        </w:rPr>
        <w:t>. This Agreement will survive the termination of my employment, regardless of the reason, and the assignment</w:t>
      </w:r>
      <w:r>
        <w:rPr>
          <w:rFonts w:ascii="Arial" w:cs="Arial" w:eastAsia="Arial" w:hAnsi="Arial"/>
          <w:sz w:val="20"/>
          <w:szCs w:val="20"/>
          <w:b w:val="1"/>
          <w:bCs w:val="1"/>
          <w:color w:val="auto"/>
        </w:rPr>
        <w:t xml:space="preserve"> </w:t>
      </w:r>
      <w:r>
        <w:rPr>
          <w:rFonts w:ascii="Arial" w:cs="Arial" w:eastAsia="Arial" w:hAnsi="Arial"/>
          <w:sz w:val="21"/>
          <w:szCs w:val="21"/>
          <w:color w:val="auto"/>
        </w:rPr>
        <w:t>of this Agreement by Company to any successor in interest or other assignee.</w:t>
      </w:r>
    </w:p>
    <w:p>
      <w:pPr>
        <w:spacing w:after="0" w:line="1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12.4 </w:t>
      </w:r>
      <w:r>
        <w:rPr>
          <w:rFonts w:ascii="Arial" w:cs="Arial" w:eastAsia="Arial" w:hAnsi="Arial"/>
          <w:sz w:val="21"/>
          <w:szCs w:val="21"/>
          <w:b w:val="1"/>
          <w:bCs w:val="1"/>
          <w:color w:val="auto"/>
        </w:rPr>
        <w:t>Employment At-Will</w:t>
      </w:r>
      <w:r>
        <w:rPr>
          <w:rFonts w:ascii="Arial" w:cs="Arial" w:eastAsia="Arial" w:hAnsi="Arial"/>
          <w:sz w:val="21"/>
          <w:szCs w:val="21"/>
          <w:color w:val="auto"/>
        </w:rPr>
        <w:t>. I agree and understand that nothing in this Agreement will change my at-will employment status</w:t>
      </w:r>
      <w:r>
        <w:rPr>
          <w:rFonts w:ascii="Arial" w:cs="Arial" w:eastAsia="Arial" w:hAnsi="Arial"/>
          <w:sz w:val="20"/>
          <w:szCs w:val="20"/>
          <w:b w:val="1"/>
          <w:bCs w:val="1"/>
          <w:color w:val="auto"/>
        </w:rPr>
        <w:t xml:space="preserve"> </w:t>
      </w:r>
      <w:r>
        <w:rPr>
          <w:rFonts w:ascii="Arial" w:cs="Arial" w:eastAsia="Arial" w:hAnsi="Arial"/>
          <w:sz w:val="21"/>
          <w:szCs w:val="21"/>
          <w:color w:val="auto"/>
        </w:rPr>
        <w:t>or confer any right with respect to continuation of employment by Company, nor will it interfere in any way with my right or Company’s right to terminate my employment at any time, with or without cause or advance notice.</w:t>
      </w:r>
    </w:p>
    <w:p>
      <w:pPr>
        <w:spacing w:after="0" w:line="43"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12.5 </w:t>
      </w:r>
      <w:r>
        <w:rPr>
          <w:rFonts w:ascii="Arial" w:cs="Arial" w:eastAsia="Arial" w:hAnsi="Arial"/>
          <w:sz w:val="21"/>
          <w:szCs w:val="21"/>
          <w:b w:val="1"/>
          <w:bCs w:val="1"/>
          <w:color w:val="auto"/>
        </w:rPr>
        <w:t>Waiver</w:t>
      </w:r>
      <w:r>
        <w:rPr>
          <w:rFonts w:ascii="Arial" w:cs="Arial" w:eastAsia="Arial" w:hAnsi="Arial"/>
          <w:sz w:val="21"/>
          <w:szCs w:val="21"/>
          <w:color w:val="auto"/>
        </w:rPr>
        <w:t>. No waiver by Company of any breach of this Agreement will be a waiver of any preceding or succeeding</w:t>
      </w:r>
      <w:r>
        <w:rPr>
          <w:rFonts w:ascii="Arial" w:cs="Arial" w:eastAsia="Arial" w:hAnsi="Arial"/>
          <w:sz w:val="20"/>
          <w:szCs w:val="20"/>
          <w:b w:val="1"/>
          <w:bCs w:val="1"/>
          <w:color w:val="auto"/>
        </w:rPr>
        <w:t xml:space="preserve"> </w:t>
      </w:r>
      <w:r>
        <w:rPr>
          <w:rFonts w:ascii="Arial" w:cs="Arial" w:eastAsia="Arial" w:hAnsi="Arial"/>
          <w:sz w:val="21"/>
          <w:szCs w:val="21"/>
          <w:color w:val="auto"/>
        </w:rPr>
        <w:t>breach. No waiver by Company of any right under this Agreement will be construed as a waiver of any other right. Company will not be required to give notice to enforce strict adherence to all terms of this Agreement.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9" w:right="239" w:bottom="1440" w:gutter="0" w:footer="0" w:header="0"/>
        </w:sectPr>
      </w:pPr>
    </w:p>
    <w:bookmarkStart w:id="81" w:name="page82"/>
    <w:bookmarkEnd w:id="81"/>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12.6 </w:t>
      </w:r>
      <w:r>
        <w:rPr>
          <w:rFonts w:ascii="Arial" w:cs="Arial" w:eastAsia="Arial" w:hAnsi="Arial"/>
          <w:sz w:val="21"/>
          <w:szCs w:val="21"/>
          <w:b w:val="1"/>
          <w:bCs w:val="1"/>
          <w:color w:val="auto"/>
        </w:rPr>
        <w:t>Export</w:t>
      </w:r>
      <w:r>
        <w:rPr>
          <w:rFonts w:ascii="Arial" w:cs="Arial" w:eastAsia="Arial" w:hAnsi="Arial"/>
          <w:sz w:val="21"/>
          <w:szCs w:val="21"/>
          <w:color w:val="auto"/>
        </w:rPr>
        <w:t>. I agree not to export, reexport, or transfer, directly or indirectly, any U.S. technical data acquired from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or any products utilizing such data, in violation of the United States export laws or regulations.</w:t>
      </w:r>
    </w:p>
    <w:p>
      <w:pPr>
        <w:spacing w:after="0" w:line="17"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12.7 </w:t>
      </w: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executed in two or more counterparts, each of which will be deemed an original,</w:t>
      </w:r>
      <w:r>
        <w:rPr>
          <w:rFonts w:ascii="Arial" w:cs="Arial" w:eastAsia="Arial" w:hAnsi="Arial"/>
          <w:sz w:val="20"/>
          <w:szCs w:val="20"/>
          <w:b w:val="1"/>
          <w:bCs w:val="1"/>
          <w:color w:val="auto"/>
        </w:rPr>
        <w:t xml:space="preserve"> </w:t>
      </w:r>
      <w:r>
        <w:rPr>
          <w:rFonts w:ascii="Arial" w:cs="Arial" w:eastAsia="Arial" w:hAnsi="Arial"/>
          <w:sz w:val="21"/>
          <w:szCs w:val="21"/>
          <w:color w:val="auto"/>
        </w:rPr>
        <w:t>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20"/>
          <w:szCs w:val="20"/>
          <w:b w:val="1"/>
          <w:bCs w:val="1"/>
          <w:color w:val="auto"/>
        </w:rPr>
        <w:t xml:space="preserve">12.8 </w:t>
      </w:r>
      <w:r>
        <w:rPr>
          <w:rFonts w:ascii="Arial" w:cs="Arial" w:eastAsia="Arial" w:hAnsi="Arial"/>
          <w:sz w:val="21"/>
          <w:szCs w:val="21"/>
          <w:b w:val="1"/>
          <w:bCs w:val="1"/>
          <w:color w:val="auto"/>
        </w:rPr>
        <w:t>Advice of Counsel. I ACKNOWLEDGE THAT, IN EXECUTING THIS AGREEMENT, I HAVE HAD THE</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OPPORTUNITY TO SEEK THE ADVICE OF INDEPENDENT LEGAL COUNSEL, AND I HAVE READ AND UNDERSTOOD ALL OF THE TERMS AND PROVISIONS OF THIS AGREEMENT. THIS AGREEMENT WILL NOT BE CONSTRUED AGAINST ANY PARTY BY REASON OF THE DRAFTING OR PREPARATION OF THIS AGREEMENT.</w:t>
      </w:r>
    </w:p>
    <w:p>
      <w:pPr>
        <w:spacing w:after="0" w:line="200" w:lineRule="exact"/>
        <w:rPr>
          <w:sz w:val="20"/>
          <w:szCs w:val="20"/>
          <w:color w:val="auto"/>
        </w:rPr>
      </w:pPr>
    </w:p>
    <w:p>
      <w:pPr>
        <w:spacing w:after="0" w:line="230"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20"/>
          <w:szCs w:val="20"/>
          <w:b w:val="1"/>
          <w:bCs w:val="1"/>
          <w:color w:val="auto"/>
        </w:rPr>
        <w:t xml:space="preserve">12.9 </w:t>
      </w:r>
      <w:r>
        <w:rPr>
          <w:rFonts w:ascii="Arial" w:cs="Arial" w:eastAsia="Arial" w:hAnsi="Arial"/>
          <w:sz w:val="21"/>
          <w:szCs w:val="21"/>
          <w:b w:val="1"/>
          <w:bCs w:val="1"/>
          <w:color w:val="auto"/>
        </w:rPr>
        <w:t>Entire Agreement</w:t>
      </w:r>
      <w:r>
        <w:rPr>
          <w:rFonts w:ascii="Arial" w:cs="Arial" w:eastAsia="Arial" w:hAnsi="Arial"/>
          <w:sz w:val="21"/>
          <w:szCs w:val="21"/>
          <w:color w:val="auto"/>
        </w:rPr>
        <w:t>. The obligations pursuant to Sections 1 and 2 (except Subsection 2.4 and Subsection 2.7(a)) of this</w:t>
      </w:r>
      <w:r>
        <w:rPr>
          <w:rFonts w:ascii="Arial" w:cs="Arial" w:eastAsia="Arial" w:hAnsi="Arial"/>
          <w:sz w:val="20"/>
          <w:szCs w:val="20"/>
          <w:b w:val="1"/>
          <w:bCs w:val="1"/>
          <w:color w:val="auto"/>
        </w:rPr>
        <w:t xml:space="preserve"> </w:t>
      </w:r>
      <w:r>
        <w:rPr>
          <w:rFonts w:ascii="Arial" w:cs="Arial" w:eastAsia="Arial" w:hAnsi="Arial"/>
          <w:sz w:val="21"/>
          <w:szCs w:val="21"/>
          <w:color w:val="auto"/>
        </w:rPr>
        <w:t>Agreement will apply to any time during which I was previously engaged, or am in the future engaged, by Company as a consultant if no other agreement governs nondisclosure and assignment of inventions during such period. This Agreement is the final, complete and exclusive agreement of the parties with respect to the subject matter of this Agreement and supersedes and merges all prior discussions between us. No modification of or amendment to this Agreement will be effective unless in writing and signed by the party to be charged. Any subsequent change or changes in my duties, salary or compensation will not affect the validity or scope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[signatures to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Agreement will be effective as of </w:t>
      </w:r>
      <w:r>
        <w:rPr>
          <w:rFonts w:ascii="Arial" w:cs="Arial" w:eastAsia="Arial" w:hAnsi="Arial"/>
          <w:sz w:val="22"/>
          <w:szCs w:val="22"/>
          <w:b w:val="1"/>
          <w:bCs w:val="1"/>
          <w:color w:val="auto"/>
        </w:rPr>
        <w:t>April 17, 2019</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w:t>
      </w:r>
    </w:p>
    <w:p>
      <w:pPr>
        <w:spacing w:after="0" w:line="346" w:lineRule="exact"/>
        <w:rPr>
          <w:sz w:val="20"/>
          <w:szCs w:val="20"/>
          <w:color w:val="auto"/>
        </w:rPr>
      </w:pPr>
    </w:p>
    <w:p>
      <w:pPr>
        <w:ind w:left="120" w:right="2280"/>
        <w:spacing w:after="0" w:line="267" w:lineRule="auto"/>
        <w:rPr>
          <w:sz w:val="20"/>
          <w:szCs w:val="20"/>
          <w:color w:val="auto"/>
        </w:rPr>
      </w:pPr>
      <w:r>
        <w:rPr>
          <w:rFonts w:ascii="Arial" w:cs="Arial" w:eastAsia="Arial" w:hAnsi="Arial"/>
          <w:sz w:val="20"/>
          <w:szCs w:val="20"/>
          <w:b w:val="1"/>
          <w:bCs w:val="1"/>
          <w:color w:val="auto"/>
        </w:rPr>
        <w:t>I have read this agreement carefully and understand its terms. I have completely filled out Exhibit A to this Agreement.</w:t>
      </w: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jc w:val="center"/>
        <w:ind w:right="2060"/>
        <w:spacing w:after="0"/>
        <w:rPr>
          <w:sz w:val="20"/>
          <w:szCs w:val="20"/>
          <w:color w:val="auto"/>
        </w:rPr>
      </w:pPr>
      <w:r>
        <w:rPr>
          <w:rFonts w:ascii="Arial" w:cs="Arial" w:eastAsia="Arial" w:hAnsi="Arial"/>
          <w:sz w:val="22"/>
          <w:szCs w:val="22"/>
          <w:color w:val="auto"/>
        </w:rPr>
        <w:t>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jc w:val="center"/>
        <w:ind w:right="2060"/>
        <w:spacing w:after="0"/>
        <w:rPr>
          <w:sz w:val="20"/>
          <w:szCs w:val="20"/>
          <w:color w:val="auto"/>
        </w:rPr>
      </w:pPr>
      <w:r>
        <w:rPr>
          <w:rFonts w:ascii="Arial" w:cs="Arial" w:eastAsia="Arial" w:hAnsi="Arial"/>
          <w:sz w:val="22"/>
          <w:szCs w:val="22"/>
          <w:color w:val="auto"/>
        </w:rPr>
        <w:t>Name</w:t>
      </w:r>
    </w:p>
    <w:p>
      <w:pPr>
        <w:spacing w:after="0" w:line="341" w:lineRule="exact"/>
        <w:rPr>
          <w:sz w:val="20"/>
          <w:szCs w:val="20"/>
          <w:color w:val="auto"/>
        </w:rPr>
      </w:pPr>
    </w:p>
    <w:p>
      <w:pPr>
        <w:jc w:val="center"/>
        <w:ind w:right="2080"/>
        <w:spacing w:after="0"/>
        <w:rPr>
          <w:sz w:val="20"/>
          <w:szCs w:val="20"/>
          <w:color w:val="auto"/>
        </w:rPr>
      </w:pPr>
      <w:r>
        <w:rPr>
          <w:rFonts w:ascii="Arial" w:cs="Arial" w:eastAsia="Arial" w:hAnsi="Arial"/>
          <w:sz w:val="22"/>
          <w:szCs w:val="22"/>
          <w:color w:val="auto"/>
        </w:rPr>
        <w:t>April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jc w:val="center"/>
        <w:ind w:right="20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401955</wp:posOffset>
            </wp:positionV>
            <wp:extent cx="5831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Email: bandrews@cooperco.com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Address:______________________________________</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EMPLOYER:</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Accepted and agreed</w:t>
      </w:r>
    </w:p>
    <w:p>
      <w:pPr>
        <w:sectPr>
          <w:pgSz w:w="11900" w:h="16838" w:orient="portrait"/>
          <w:cols w:equalWidth="0" w:num="1">
            <w:col w:w="11420"/>
          </w:cols>
          <w:pgMar w:left="240" w:top="369" w:right="239" w:bottom="0" w:gutter="0" w:footer="0" w:header="0"/>
        </w:sectPr>
      </w:pPr>
    </w:p>
    <w:bookmarkStart w:id="82" w:name="page83"/>
    <w:bookmarkEnd w:id="82"/>
    <w:p>
      <w:pPr>
        <w:ind w:left="120"/>
        <w:spacing w:after="0"/>
        <w:rPr>
          <w:sz w:val="20"/>
          <w:szCs w:val="20"/>
          <w:color w:val="auto"/>
        </w:rPr>
      </w:pPr>
      <w:r>
        <w:rPr>
          <w:rFonts w:ascii="Arial" w:cs="Arial" w:eastAsia="Arial" w:hAnsi="Arial"/>
          <w:sz w:val="22"/>
          <w:szCs w:val="22"/>
          <w:b w:val="1"/>
          <w:bCs w:val="1"/>
          <w:color w:val="auto"/>
        </w:rPr>
        <w:t>The Cooper Companies,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200" w:type="dxa"/>
            <w:vAlign w:val="bottom"/>
          </w:tcPr>
          <w:p>
            <w:pPr>
              <w:ind w:left="120"/>
              <w:spacing w:after="0"/>
              <w:rPr>
                <w:sz w:val="20"/>
                <w:szCs w:val="20"/>
                <w:color w:val="auto"/>
              </w:rPr>
            </w:pPr>
            <w:r>
              <w:rPr>
                <w:rFonts w:ascii="Arial" w:cs="Arial" w:eastAsia="Arial" w:hAnsi="Arial"/>
                <w:sz w:val="22"/>
                <w:szCs w:val="22"/>
                <w:color w:val="auto"/>
              </w:rPr>
              <w:t>By:</w:t>
            </w:r>
          </w:p>
        </w:tc>
        <w:tc>
          <w:tcPr>
            <w:tcW w:w="7380" w:type="dxa"/>
            <w:vAlign w:val="bottom"/>
            <w:tcBorders>
              <w:bottom w:val="single" w:sz="8" w:color="auto"/>
            </w:tcBorders>
            <w:gridSpan w:val="4"/>
          </w:tcPr>
          <w:p>
            <w:pPr>
              <w:ind w:left="20"/>
              <w:spacing w:after="0"/>
              <w:rPr>
                <w:sz w:val="20"/>
                <w:szCs w:val="20"/>
                <w:color w:val="auto"/>
              </w:rPr>
            </w:pPr>
            <w:r>
              <w:rPr>
                <w:rFonts w:ascii="Arial" w:cs="Arial" w:eastAsia="Arial" w:hAnsi="Arial"/>
                <w:sz w:val="22"/>
                <w:szCs w:val="22"/>
                <w:color w:val="auto"/>
              </w:rPr>
              <w:t>/s Randal L. Golden</w:t>
            </w:r>
          </w:p>
        </w:tc>
        <w:tc>
          <w:tcPr>
            <w:tcW w:w="0" w:type="dxa"/>
            <w:vAlign w:val="bottom"/>
          </w:tcPr>
          <w:p>
            <w:pPr>
              <w:spacing w:after="0"/>
              <w:rPr>
                <w:sz w:val="1"/>
                <w:szCs w:val="1"/>
                <w:color w:val="auto"/>
              </w:rPr>
            </w:pPr>
          </w:p>
        </w:tc>
      </w:tr>
      <w:tr>
        <w:trPr>
          <w:trHeight w:val="577"/>
        </w:trPr>
        <w:tc>
          <w:tcPr>
            <w:tcW w:w="12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22"/>
                <w:szCs w:val="22"/>
                <w:color w:val="auto"/>
              </w:rPr>
              <w:t>Name:</w:t>
            </w:r>
          </w:p>
        </w:tc>
        <w:tc>
          <w:tcPr>
            <w:tcW w:w="6560" w:type="dxa"/>
            <w:vAlign w:val="bottom"/>
            <w:gridSpan w:val="2"/>
          </w:tcPr>
          <w:p>
            <w:pPr>
              <w:ind w:left="240"/>
              <w:spacing w:after="0"/>
              <w:rPr>
                <w:sz w:val="20"/>
                <w:szCs w:val="20"/>
                <w:color w:val="auto"/>
              </w:rPr>
            </w:pPr>
            <w:r>
              <w:rPr>
                <w:rFonts w:ascii="Arial" w:cs="Arial" w:eastAsia="Arial" w:hAnsi="Arial"/>
                <w:sz w:val="22"/>
                <w:szCs w:val="22"/>
                <w:color w:val="auto"/>
              </w:rPr>
              <w:t>Randal L. Golden</w:t>
            </w: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22"/>
                <w:szCs w:val="22"/>
                <w:color w:val="auto"/>
              </w:rPr>
              <w:t>Title:</w:t>
            </w:r>
          </w:p>
        </w:tc>
        <w:tc>
          <w:tcPr>
            <w:tcW w:w="6560" w:type="dxa"/>
            <w:vAlign w:val="bottom"/>
            <w:gridSpan w:val="2"/>
          </w:tcPr>
          <w:p>
            <w:pPr>
              <w:ind w:left="240"/>
              <w:spacing w:after="0"/>
              <w:rPr>
                <w:sz w:val="20"/>
                <w:szCs w:val="20"/>
                <w:color w:val="auto"/>
              </w:rPr>
            </w:pPr>
            <w:r>
              <w:rPr>
                <w:rFonts w:ascii="Arial" w:cs="Arial" w:eastAsia="Arial" w:hAnsi="Arial"/>
                <w:sz w:val="22"/>
                <w:szCs w:val="22"/>
                <w:color w:val="auto"/>
              </w:rPr>
              <w:t>Vice President, General Counsel, &amp; Secretary</w:t>
            </w:r>
          </w:p>
        </w:tc>
        <w:tc>
          <w:tcPr>
            <w:tcW w:w="0" w:type="dxa"/>
            <w:vAlign w:val="bottom"/>
          </w:tcPr>
          <w:p>
            <w:pPr>
              <w:spacing w:after="0"/>
              <w:rPr>
                <w:sz w:val="1"/>
                <w:szCs w:val="1"/>
                <w:color w:val="auto"/>
              </w:rPr>
            </w:pPr>
          </w:p>
        </w:tc>
      </w:tr>
      <w:tr>
        <w:trPr>
          <w:trHeight w:val="605"/>
        </w:trPr>
        <w:tc>
          <w:tcPr>
            <w:tcW w:w="1200" w:type="dxa"/>
            <w:vAlign w:val="bottom"/>
          </w:tcPr>
          <w:p>
            <w:pPr>
              <w:ind w:left="120"/>
              <w:spacing w:after="0"/>
              <w:rPr>
                <w:sz w:val="20"/>
                <w:szCs w:val="20"/>
                <w:color w:val="auto"/>
              </w:rPr>
            </w:pPr>
            <w:r>
              <w:rPr>
                <w:rFonts w:ascii="Arial" w:cs="Arial" w:eastAsia="Arial" w:hAnsi="Arial"/>
                <w:sz w:val="22"/>
                <w:szCs w:val="22"/>
                <w:color w:val="auto"/>
              </w:rPr>
              <w:t>Email:</w:t>
            </w:r>
          </w:p>
        </w:tc>
        <w:tc>
          <w:tcPr>
            <w:tcW w:w="7380" w:type="dxa"/>
            <w:vAlign w:val="bottom"/>
            <w:tcBorders>
              <w:bottom w:val="single" w:sz="8" w:color="auto"/>
            </w:tcBorders>
            <w:gridSpan w:val="4"/>
          </w:tcPr>
          <w:p>
            <w:pPr>
              <w:ind w:left="20"/>
              <w:spacing w:after="0"/>
              <w:rPr>
                <w:sz w:val="20"/>
                <w:szCs w:val="20"/>
                <w:color w:val="auto"/>
              </w:rPr>
            </w:pPr>
            <w:r>
              <w:rPr>
                <w:rFonts w:ascii="Arial" w:cs="Arial" w:eastAsia="Arial" w:hAnsi="Arial"/>
                <w:sz w:val="22"/>
                <w:szCs w:val="22"/>
                <w:color w:val="auto"/>
              </w:rPr>
              <w:t>rgolden@cooperco.com</w:t>
            </w:r>
          </w:p>
        </w:tc>
        <w:tc>
          <w:tcPr>
            <w:tcW w:w="0" w:type="dxa"/>
            <w:vAlign w:val="bottom"/>
          </w:tcPr>
          <w:p>
            <w:pPr>
              <w:spacing w:after="0"/>
              <w:rPr>
                <w:sz w:val="1"/>
                <w:szCs w:val="1"/>
                <w:color w:val="auto"/>
              </w:rPr>
            </w:pPr>
          </w:p>
        </w:tc>
      </w:tr>
      <w:tr>
        <w:trPr>
          <w:trHeight w:val="721"/>
        </w:trPr>
        <w:tc>
          <w:tcPr>
            <w:tcW w:w="8580" w:type="dxa"/>
            <w:vAlign w:val="bottom"/>
            <w:gridSpan w:val="5"/>
          </w:tcPr>
          <w:p>
            <w:pPr>
              <w:spacing w:after="0"/>
              <w:rPr>
                <w:sz w:val="20"/>
                <w:szCs w:val="20"/>
                <w:color w:val="auto"/>
              </w:rPr>
            </w:pPr>
            <w:r>
              <w:rPr>
                <w:rFonts w:ascii="Arial" w:cs="Arial" w:eastAsia="Arial" w:hAnsi="Arial"/>
                <w:sz w:val="22"/>
                <w:szCs w:val="22"/>
                <w:color w:val="auto"/>
              </w:rPr>
              <w:t>Address:  6140 Stoneridge Mall Road, Suite 590</w:t>
            </w: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3"/>
                <w:szCs w:val="23"/>
                <w:color w:val="auto"/>
              </w:rPr>
            </w:pPr>
          </w:p>
        </w:tc>
        <w:tc>
          <w:tcPr>
            <w:tcW w:w="7380" w:type="dxa"/>
            <w:vAlign w:val="bottom"/>
            <w:gridSpan w:val="4"/>
          </w:tcPr>
          <w:p>
            <w:pPr>
              <w:ind w:left="100"/>
              <w:spacing w:after="0"/>
              <w:rPr>
                <w:sz w:val="20"/>
                <w:szCs w:val="20"/>
                <w:color w:val="auto"/>
              </w:rPr>
            </w:pPr>
            <w:r>
              <w:rPr>
                <w:rFonts w:ascii="Arial" w:cs="Arial" w:eastAsia="Arial" w:hAnsi="Arial"/>
                <w:sz w:val="22"/>
                <w:szCs w:val="22"/>
                <w:color w:val="auto"/>
              </w:rPr>
              <w:t>Pleasanton, California 94588</w:t>
            </w:r>
          </w:p>
        </w:tc>
        <w:tc>
          <w:tcPr>
            <w:tcW w:w="0" w:type="dxa"/>
            <w:vAlign w:val="bottom"/>
          </w:tcPr>
          <w:p>
            <w:pPr>
              <w:spacing w:after="0"/>
              <w:rPr>
                <w:sz w:val="1"/>
                <w:szCs w:val="1"/>
                <w:color w:val="auto"/>
              </w:rPr>
            </w:pPr>
          </w:p>
        </w:tc>
      </w:tr>
      <w:tr>
        <w:trPr>
          <w:trHeight w:val="486"/>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
          </w:tcPr>
          <w:p>
            <w:pPr>
              <w:jc w:val="center"/>
              <w:ind w:left="712"/>
              <w:spacing w:after="0"/>
              <w:rPr>
                <w:sz w:val="20"/>
                <w:szCs w:val="20"/>
                <w:color w:val="auto"/>
              </w:rPr>
            </w:pPr>
            <w:r>
              <w:rPr>
                <w:rFonts w:ascii="Arial" w:cs="Arial" w:eastAsia="Arial" w:hAnsi="Arial"/>
                <w:sz w:val="22"/>
                <w:szCs w:val="22"/>
                <w:b w:val="1"/>
                <w:bCs w:val="1"/>
                <w:color w:val="auto"/>
              </w:rPr>
              <w:t>EXHIBIT A</w:t>
            </w:r>
          </w:p>
        </w:tc>
        <w:tc>
          <w:tcPr>
            <w:tcW w:w="0" w:type="dxa"/>
            <w:vAlign w:val="bottom"/>
          </w:tcPr>
          <w:p>
            <w:pPr>
              <w:spacing w:after="0"/>
              <w:rPr>
                <w:sz w:val="1"/>
                <w:szCs w:val="1"/>
                <w:color w:val="auto"/>
              </w:rPr>
            </w:pPr>
          </w:p>
        </w:tc>
      </w:tr>
      <w:tr>
        <w:trPr>
          <w:trHeight w:val="473"/>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
          </w:tcPr>
          <w:p>
            <w:pPr>
              <w:jc w:val="center"/>
              <w:ind w:left="732"/>
              <w:spacing w:after="0"/>
              <w:rPr>
                <w:sz w:val="20"/>
                <w:szCs w:val="20"/>
                <w:color w:val="auto"/>
              </w:rPr>
            </w:pPr>
            <w:r>
              <w:rPr>
                <w:rFonts w:ascii="Arial" w:cs="Arial" w:eastAsia="Arial" w:hAnsi="Arial"/>
                <w:sz w:val="22"/>
                <w:szCs w:val="22"/>
                <w:b w:val="1"/>
                <w:bCs w:val="1"/>
                <w:color w:val="auto"/>
              </w:rPr>
              <w:t>PRIOR INVENTIONS</w:t>
            </w:r>
          </w:p>
        </w:tc>
        <w:tc>
          <w:tcPr>
            <w:tcW w:w="0" w:type="dxa"/>
            <w:vAlign w:val="bottom"/>
          </w:tcPr>
          <w:p>
            <w:pPr>
              <w:spacing w:after="0"/>
              <w:rPr>
                <w:sz w:val="1"/>
                <w:szCs w:val="1"/>
                <w:color w:val="auto"/>
              </w:rPr>
            </w:pPr>
          </w:p>
        </w:tc>
      </w:tr>
      <w:tr>
        <w:trPr>
          <w:trHeight w:val="710"/>
        </w:trPr>
        <w:tc>
          <w:tcPr>
            <w:tcW w:w="1200" w:type="dxa"/>
            <w:vAlign w:val="bottom"/>
          </w:tcPr>
          <w:p>
            <w:pPr>
              <w:ind w:left="120"/>
              <w:spacing w:after="0"/>
              <w:rPr>
                <w:sz w:val="20"/>
                <w:szCs w:val="20"/>
                <w:color w:val="auto"/>
              </w:rPr>
            </w:pPr>
            <w:r>
              <w:rPr>
                <w:rFonts w:ascii="Arial" w:cs="Arial" w:eastAsia="Arial" w:hAnsi="Arial"/>
                <w:sz w:val="20"/>
                <w:szCs w:val="20"/>
                <w:b w:val="1"/>
                <w:bCs w:val="1"/>
                <w:color w:val="auto"/>
              </w:rPr>
              <w:t>TO:</w:t>
            </w: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The Cooper Companies, Inc.</w:t>
            </w:r>
          </w:p>
        </w:tc>
        <w:tc>
          <w:tcPr>
            <w:tcW w:w="0" w:type="dxa"/>
            <w:vAlign w:val="bottom"/>
          </w:tcPr>
          <w:p>
            <w:pPr>
              <w:spacing w:after="0"/>
              <w:rPr>
                <w:sz w:val="1"/>
                <w:szCs w:val="1"/>
                <w:color w:val="auto"/>
              </w:rPr>
            </w:pPr>
          </w:p>
        </w:tc>
      </w:tr>
      <w:tr>
        <w:trPr>
          <w:trHeight w:val="23"/>
        </w:trPr>
        <w:tc>
          <w:tcPr>
            <w:tcW w:w="120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FROM:</w:t>
            </w:r>
          </w:p>
        </w:tc>
        <w:tc>
          <w:tcPr>
            <w:tcW w:w="5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1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Brian G. Andrews</w:t>
            </w:r>
          </w:p>
        </w:tc>
        <w:tc>
          <w:tcPr>
            <w:tcW w:w="0" w:type="dxa"/>
            <w:vAlign w:val="bottom"/>
          </w:tcPr>
          <w:p>
            <w:pPr>
              <w:spacing w:after="0"/>
              <w:rPr>
                <w:sz w:val="1"/>
                <w:szCs w:val="1"/>
                <w:color w:val="auto"/>
              </w:rPr>
            </w:pPr>
          </w:p>
        </w:tc>
      </w:tr>
      <w:tr>
        <w:trPr>
          <w:trHeight w:val="23"/>
        </w:trPr>
        <w:tc>
          <w:tcPr>
            <w:tcW w:w="120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DATE:</w:t>
            </w:r>
          </w:p>
        </w:tc>
        <w:tc>
          <w:tcPr>
            <w:tcW w:w="5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1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April 17, 2019</w:t>
            </w: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660" w:right="600" w:hanging="652"/>
        <w:spacing w:after="0" w:line="451" w:lineRule="auto"/>
        <w:tabs>
          <w:tab w:leader="none" w:pos="39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Prior Inventions Disclosure</w:t>
      </w:r>
      <w:r>
        <w:rPr>
          <w:rFonts w:ascii="Arial" w:cs="Arial" w:eastAsia="Arial" w:hAnsi="Arial"/>
          <w:sz w:val="22"/>
          <w:szCs w:val="22"/>
          <w:color w:val="auto"/>
        </w:rPr>
        <w:t>. Except as listed in Section 2 below, the following is a complete list of all Prior Inventions:</w:t>
      </w:r>
      <w:r>
        <w:rPr>
          <w:rFonts w:ascii="Arial" w:cs="Arial" w:eastAsia="Arial" w:hAnsi="Arial"/>
          <w:sz w:val="22"/>
          <w:szCs w:val="22"/>
          <w:b w:val="1"/>
          <w:bCs w:val="1"/>
          <w:color w:val="auto"/>
        </w:rPr>
        <w:t xml:space="preserve"> </w:t>
      </w:r>
      <w:r>
        <w:rPr>
          <w:rFonts w:ascii="Arial" w:cs="Arial" w:eastAsia="Arial" w:hAnsi="Arial"/>
          <w:sz w:val="22"/>
          <w:szCs w:val="22"/>
          <w:color w:val="auto"/>
        </w:rPr>
        <w:t>No Prior Inventions.</w:t>
      </w: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1405255</wp:posOffset>
            </wp:positionV>
            <wp:extent cx="54540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1207770</wp:posOffset>
            </wp:positionV>
            <wp:extent cx="54540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1010920</wp:posOffset>
            </wp:positionV>
            <wp:extent cx="54540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813435</wp:posOffset>
            </wp:positionV>
            <wp:extent cx="5454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615950</wp:posOffset>
            </wp:positionV>
            <wp:extent cx="5454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419100</wp:posOffset>
            </wp:positionV>
            <wp:extent cx="5454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sheets attached.</w:t>
      </w:r>
    </w:p>
    <w:p>
      <w:pPr>
        <w:spacing w:after="0" w:line="220" w:lineRule="exact"/>
        <w:rPr>
          <w:sz w:val="20"/>
          <w:szCs w:val="20"/>
          <w:color w:val="auto"/>
        </w:rPr>
      </w:pPr>
    </w:p>
    <w:p>
      <w:pPr>
        <w:jc w:val="both"/>
        <w:ind w:firstLine="8"/>
        <w:spacing w:after="0" w:line="253" w:lineRule="auto"/>
        <w:tabs>
          <w:tab w:leader="none" w:pos="473"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Due to a prior confidentiality agreement, I cannot complete the disclosure under Section 1 above with respect to the Prior Inventions generally listed below, the intellectual property rights and duty of confidentiality with respect to which I owe to the following party(ies):</w:t>
      </w:r>
    </w:p>
    <w:p>
      <w:pPr>
        <w:spacing w:after="0" w:line="200" w:lineRule="exact"/>
        <w:rPr>
          <w:sz w:val="20"/>
          <w:szCs w:val="20"/>
          <w:color w:val="auto"/>
        </w:rPr>
      </w:pPr>
    </w:p>
    <w:p>
      <w:pPr>
        <w:spacing w:after="0" w:line="236" w:lineRule="exact"/>
        <w:rPr>
          <w:sz w:val="20"/>
          <w:szCs w:val="20"/>
          <w:color w:val="auto"/>
        </w:rPr>
      </w:pPr>
    </w:p>
    <w:p>
      <w:pPr>
        <w:ind w:left="1640"/>
        <w:spacing w:after="0"/>
        <w:tabs>
          <w:tab w:leader="none" w:pos="5900" w:val="left"/>
          <w:tab w:leader="none" w:pos="9460" w:val="left"/>
        </w:tabs>
        <w:rPr>
          <w:sz w:val="20"/>
          <w:szCs w:val="20"/>
          <w:color w:val="auto"/>
        </w:rPr>
      </w:pPr>
      <w:r>
        <w:rPr>
          <w:rFonts w:ascii="Arial" w:cs="Arial" w:eastAsia="Arial" w:hAnsi="Arial"/>
          <w:sz w:val="22"/>
          <w:szCs w:val="22"/>
          <w:b w:val="1"/>
          <w:bCs w:val="1"/>
          <w:color w:val="auto"/>
        </w:rPr>
        <w:t>Excluded Invention</w:t>
      </w:r>
      <w:r>
        <w:rPr>
          <w:sz w:val="20"/>
          <w:szCs w:val="20"/>
          <w:color w:val="auto"/>
        </w:rPr>
        <w:tab/>
      </w:r>
      <w:r>
        <w:rPr>
          <w:rFonts w:ascii="Arial" w:cs="Arial" w:eastAsia="Arial" w:hAnsi="Arial"/>
          <w:sz w:val="22"/>
          <w:szCs w:val="22"/>
          <w:b w:val="1"/>
          <w:bCs w:val="1"/>
          <w:color w:val="auto"/>
        </w:rPr>
        <w:t>Party(ies)</w:t>
      </w:r>
      <w:r>
        <w:rPr>
          <w:sz w:val="20"/>
          <w:szCs w:val="20"/>
          <w:color w:val="auto"/>
        </w:rPr>
        <w:tab/>
      </w:r>
      <w:r>
        <w:rPr>
          <w:rFonts w:ascii="Arial" w:cs="Arial" w:eastAsia="Arial" w:hAnsi="Arial"/>
          <w:sz w:val="19"/>
          <w:szCs w:val="19"/>
          <w:b w:val="1"/>
          <w:bCs w:val="1"/>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28575</wp:posOffset>
            </wp:positionV>
            <wp:extent cx="6586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Additional sheets attached.</w:t>
      </w:r>
    </w:p>
    <w:p>
      <w:pPr>
        <w:spacing w:after="0" w:line="200" w:lineRule="exact"/>
        <w:rPr>
          <w:sz w:val="20"/>
          <w:szCs w:val="20"/>
          <w:color w:val="auto"/>
        </w:rPr>
      </w:pPr>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Limited Exclusion Notification</w:t>
      </w:r>
      <w:r>
        <w:rPr>
          <w:rFonts w:ascii="Arial" w:cs="Arial" w:eastAsia="Arial" w:hAnsi="Arial"/>
          <w:sz w:val="19"/>
          <w:szCs w:val="19"/>
          <w:color w:val="auto"/>
        </w:rPr>
        <w:t>.</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This is to notify you in accordance with Section 2872 of the California Labor Code that the foregoing Agreement between you and Company does not require you to assign or offer to assign to Company any Invention that you develop entirely on your own time without using Company’s equipment, supplies, facilities or trade secret information, except for those Inventions that either:</w:t>
      </w:r>
    </w:p>
    <w:p>
      <w:pPr>
        <w:sectPr>
          <w:pgSz w:w="11900" w:h="16838" w:orient="portrait"/>
          <w:cols w:equalWidth="0" w:num="1">
            <w:col w:w="11420"/>
          </w:cols>
          <w:pgMar w:left="240" w:top="652" w:right="239" w:bottom="0" w:gutter="0" w:footer="0" w:header="0"/>
        </w:sectPr>
      </w:pPr>
    </w:p>
    <w:bookmarkStart w:id="83" w:name="page84"/>
    <w:bookmarkEnd w:id="83"/>
    <w:p>
      <w:pPr>
        <w:spacing w:after="0" w:line="120" w:lineRule="exact"/>
        <w:rPr>
          <w:sz w:val="20"/>
          <w:szCs w:val="20"/>
          <w:color w:val="auto"/>
        </w:rPr>
      </w:pPr>
    </w:p>
    <w:p>
      <w:pPr>
        <w:ind w:firstLine="656"/>
        <w:spacing w:after="0" w:line="263" w:lineRule="auto"/>
        <w:tabs>
          <w:tab w:leader="none" w:pos="1053"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to Company’s business, or actual or demonstrably anticipated research or development; or</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Result from any work performed by you for Company.</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signed on or within twenty-one (21) days after the Separation Date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My employment with the Cooper Companies, Inc. (“</w:t>
      </w:r>
      <w:r>
        <w:rPr>
          <w:rFonts w:ascii="Arial" w:cs="Arial" w:eastAsia="Arial" w:hAnsi="Arial"/>
          <w:sz w:val="19"/>
          <w:szCs w:val="19"/>
          <w:b w:val="1"/>
          <w:bCs w:val="1"/>
          <w:color w:val="auto"/>
        </w:rPr>
        <w:t>Company</w:t>
      </w:r>
      <w:r>
        <w:rPr>
          <w:rFonts w:ascii="Arial" w:cs="Arial" w:eastAsia="Arial" w:hAnsi="Arial"/>
          <w:sz w:val="19"/>
          <w:szCs w:val="19"/>
          <w:color w:val="auto"/>
        </w:rPr>
        <w:t>”) ended in all capacities on ________ (the “</w:t>
      </w:r>
      <w:r>
        <w:rPr>
          <w:rFonts w:ascii="Arial" w:cs="Arial" w:eastAsia="Arial" w:hAnsi="Arial"/>
          <w:sz w:val="19"/>
          <w:szCs w:val="19"/>
          <w:b w:val="1"/>
          <w:bCs w:val="1"/>
          <w:color w:val="auto"/>
        </w:rPr>
        <w:t>Separation Date</w:t>
      </w:r>
      <w:r>
        <w:rPr>
          <w:rFonts w:ascii="Arial" w:cs="Arial" w:eastAsia="Arial" w:hAnsi="Arial"/>
          <w:sz w:val="19"/>
          <w:szCs w:val="19"/>
          <w:color w:val="auto"/>
        </w:rPr>
        <w:t>”). I hereby</w:t>
      </w:r>
    </w:p>
    <w:p>
      <w:pPr>
        <w:spacing w:after="0" w:line="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confirm that I have been paid all compensation owed to me by Company for all hours worked; I have received all leave and leave benefits and protections for which I was eligible, pursuant to Company’s policies, applicable law, or otherwise; and I have not suffered any on-the-job injury or illness for which I have not already filed a workers’ compensation claim.</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I choose to enter into this Release and allow it to become effective by its terms, Company will provide me with certain severance benefits pursuant to the terms of the Executive Employment Agreement between me and Company dated ____, 2019 (the “</w:t>
      </w:r>
      <w:r>
        <w:rPr>
          <w:rFonts w:ascii="Arial" w:cs="Arial" w:eastAsia="Arial" w:hAnsi="Arial"/>
          <w:sz w:val="18"/>
          <w:szCs w:val="18"/>
          <w:b w:val="1"/>
          <w:bCs w:val="1"/>
          <w:color w:val="auto"/>
        </w:rPr>
        <w:t>Agreement</w:t>
      </w:r>
      <w:r>
        <w:rPr>
          <w:rFonts w:ascii="Arial" w:cs="Arial" w:eastAsia="Arial" w:hAnsi="Arial"/>
          <w:sz w:val="18"/>
          <w:szCs w:val="18"/>
          <w:color w:val="auto"/>
        </w:rPr>
        <w:t>”). I understand</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that I am not entitled to such severance benefits unless I return this fully-executed Release to Company within twenty-one (21) days after the Separation Date, and allow this Release to become fully effective and non-revocable by its terms. (Capitalized terms used but not defined in this Release shall have the meaning ascribed to them in the Agreement.)</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exchange for the severance benefits to which I would not otherwise be entitled, I hereby generally and completely release Company and its directors, officers, employees, shareholders, partners, agents, attorneys, predecessors, successors, parent and subsidiary entities, insurers, affiliates, and assigns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claims, liabilities and obligations, both known and unknown, arising from or in any way related to events, acts, conduct, or omissions occurring prior to or at the time that I sign this Release, including but not limited to claims arising from or in any way related to my employment with Company or the termination of that employment (collectively, the “</w:t>
      </w:r>
      <w:r>
        <w:rPr>
          <w:rFonts w:ascii="Arial" w:cs="Arial" w:eastAsia="Arial" w:hAnsi="Arial"/>
          <w:sz w:val="18"/>
          <w:szCs w:val="18"/>
          <w:b w:val="1"/>
          <w:bCs w:val="1"/>
          <w:color w:val="auto"/>
        </w:rPr>
        <w:t>Released Claims</w:t>
      </w:r>
      <w:r>
        <w:rPr>
          <w:rFonts w:ascii="Arial" w:cs="Arial" w:eastAsia="Arial" w:hAnsi="Arial"/>
          <w:sz w:val="18"/>
          <w:szCs w:val="18"/>
          <w:color w:val="auto"/>
        </w:rPr>
        <w:t>”). By way of example, the Released claims include, but are not limited to: (1) all claims related to my compensation or benefits from Company, including salary, bonuses, commissions, vacation pay, expense reimbursements, severance pay, fringe benefits, stock, stock options, or any other ownership interests in Company; (2) all claims for breach of contract, wrongful termination, and breach of the implied covenant of good faith and fair dealing; (3) all tort claims, including claims for fraud, defamation, emotional distress, and discharge in violation of public policy; and (4)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8"/>
          <w:szCs w:val="18"/>
          <w:b w:val="1"/>
          <w:bCs w:val="1"/>
          <w:color w:val="auto"/>
        </w:rPr>
        <w:t>ADEA</w:t>
      </w:r>
      <w:r>
        <w:rPr>
          <w:rFonts w:ascii="Arial" w:cs="Arial" w:eastAsia="Arial" w:hAnsi="Arial"/>
          <w:sz w:val="18"/>
          <w:szCs w:val="18"/>
          <w:color w:val="auto"/>
        </w:rPr>
        <w:t>”), and California state law.</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Notwithstanding the foregoing, the following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included in the Released Claims (the “</w:t>
      </w:r>
      <w:r>
        <w:rPr>
          <w:rFonts w:ascii="Arial" w:cs="Arial" w:eastAsia="Arial" w:hAnsi="Arial"/>
          <w:sz w:val="18"/>
          <w:szCs w:val="18"/>
          <w:b w:val="1"/>
          <w:bCs w:val="1"/>
          <w:color w:val="auto"/>
        </w:rPr>
        <w:t>Excluded Claims</w:t>
      </w:r>
      <w:r>
        <w:rPr>
          <w:rFonts w:ascii="Arial" w:cs="Arial" w:eastAsia="Arial" w:hAnsi="Arial"/>
          <w:sz w:val="18"/>
          <w:szCs w:val="18"/>
          <w:color w:val="auto"/>
        </w:rPr>
        <w:t>”): (a) any claims for breach of the Agreement arising after the date on which I sign this Release; (2) claims for reimbursement of properly incurred business expenses prior to and through the Separation Date which are submitted to Company for reimbursement within thirty (30) days after the Separation Date; (3) all rights I have in respect of the Equity Awards; (4) all claims for or rights to indemnification pursuant to this Agreement, the articles of incorporation and bylaws of Company, any indemnification agreement to which I am a party, or applicable law; (5) the Company’s continuing severance obligations under the Agreement; and (6) all claims which cannot be waived as a matter of law. I understand that nothing in this Release prevents me from filing, cooperating with, or participating in any proceeding before the Equal Employment Opportunity Commission, the Department of Labor, or any other government agency, except that I acknowledge and agree that I am hereby waiving my right to any monetary benefits in connection with any such claim, charge or proceeding (except for such benefits with respect to proceedings before the Securities and Exchange Commission). I hereby represent and warrant that, other than the Excluded Claims, I am not aware of any claims that I have or might have against any of the parties released above that are not included in the Released Claims.</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 acknowledge that I am knowingly and voluntarily waiving and releasing any rights I may have under the ADEA, and that the consideration given for this Release is in addition to anything of value to which I was already entitled. I further acknowledge that I have been advised, as required by the ADEA, that: (a) my waiver and release does not apply to any rights or claims that may arise after the date I sign this Release;</w:t>
      </w:r>
    </w:p>
    <w:p>
      <w:pPr>
        <w:sectPr>
          <w:pgSz w:w="11900" w:h="16958" w:orient="portrait"/>
          <w:cols w:equalWidth="0" w:num="1">
            <w:col w:w="11420"/>
          </w:cols>
          <w:pgMar w:left="240" w:top="199" w:right="239" w:bottom="0" w:gutter="0" w:footer="0" w:header="0"/>
        </w:sectPr>
      </w:pPr>
    </w:p>
    <w:bookmarkStart w:id="84" w:name="page85"/>
    <w:bookmarkEnd w:id="84"/>
    <w:p>
      <w:pPr>
        <w:jc w:val="both"/>
        <w:ind w:firstLine="8"/>
        <w:spacing w:after="0" w:line="279" w:lineRule="auto"/>
        <w:tabs>
          <w:tab w:leader="none" w:pos="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been advised that I have the right to consult with an attorney prior to executing this Release (although I may choose voluntarily not to do so); (c) I have been given twenty-one (21) days to consider this Release (although I may choose voluntarily to sign it earlier); (d) I have seven (7) days following my execution of this Release to revoke my acceptance of it (with such revocation to be delivered in writing to the Chair of the Board within the 7-day revocation period); and (e) this Release will not be effective until the date upon which the revocation period has expired, which will be the eighth day after I sign it, provided I do not earlier revoke it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required under California law for a general release of all known and unknown claims, I acknowledge that I have read and understand Section 1542 of the California Civil Code which reads as follows: “A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 I hereby expressly waive and relinquish all rights and benefits under that section and any law or legal principle of similar effect in any jurisdiction with respect to my release of claims herein, including but not limited to the release of unknown and unsuspected claims.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 further agree: (a) not to disparage Company or any of the other Released Parties, in any manner likely to be harmful to its or their business, business reputation or personal reputation (although I may respond accurately and fully to any question, inquiry or request for information as required by legal process); (b) not to voluntarily (except in response to legal compulsion) assist any third party in bringing or pursuing any proposed or pending litigation, arbitration, administrative claim or other formal proceedings against Company, its affiliates, officers, directors, employees or agents; and (c) to reasonably cooperate with Company by voluntarily (without legal compulsion) providing accurate and complete information, in connection with Company’s actual or contemplated defense, prosecution or investigation of any claims or demands by or against third parties, or other matters, arising from events, acts, or omissions that occurred during my employment with Company. I hereby certify that I have returned, without retaining any reproductions (in whole or in part), all information, materials and other property of Company, including but not limited to any embodiment (in any medium) of any confidential or proprietary information of Company (including but not limited to any such embodiments on any personally-owned electronic or other storage device such as computer, cellular phone, PDA, tablet or the like).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Release, together with the Agreement (including all Exhibits and documents incorporated therein by reference), constitutes the complete, final and exclusive embodiment of the entire agreement between me and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Reviewed, Understood and Agreed:</w:t>
      </w:r>
    </w:p>
    <w:p>
      <w:pPr>
        <w:spacing w:after="0" w:line="200" w:lineRule="exact"/>
        <w:rPr>
          <w:sz w:val="20"/>
          <w:szCs w:val="20"/>
          <w:color w:val="auto"/>
        </w:rPr>
      </w:pPr>
    </w:p>
    <w:p>
      <w:pPr>
        <w:spacing w:after="0" w:line="251"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7805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054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Brian G. Andrews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10.3</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EXECUTIVE EMPLOYMENT AGREEMENT</w:t>
      </w:r>
    </w:p>
    <w:p>
      <w:pPr>
        <w:spacing w:after="0" w:line="3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THIS EXECUTIVE EMPLOYMENT AGREEMENT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is made by and between The Cooper Companies, Inc.</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and Daniel G. McBride (“</w:t>
      </w:r>
      <w:r>
        <w:rPr>
          <w:rFonts w:ascii="Arial" w:cs="Arial" w:eastAsia="Arial" w:hAnsi="Arial"/>
          <w:sz w:val="19"/>
          <w:szCs w:val="19"/>
          <w:b w:val="1"/>
          <w:bCs w:val="1"/>
          <w:color w:val="auto"/>
        </w:rPr>
        <w:t>Executive</w:t>
      </w:r>
      <w:r>
        <w:rPr>
          <w:rFonts w:ascii="Arial" w:cs="Arial" w:eastAsia="Arial" w:hAnsi="Arial"/>
          <w:sz w:val="19"/>
          <w:szCs w:val="19"/>
          <w:color w:val="auto"/>
        </w:rPr>
        <w:t>”) (collectively, the “</w:t>
      </w:r>
      <w:r>
        <w:rPr>
          <w:rFonts w:ascii="Arial" w:cs="Arial" w:eastAsia="Arial" w:hAnsi="Arial"/>
          <w:sz w:val="19"/>
          <w:szCs w:val="19"/>
          <w:b w:val="1"/>
          <w:bCs w:val="1"/>
          <w:color w:val="auto"/>
        </w:rPr>
        <w:t>Parties</w:t>
      </w:r>
      <w:r>
        <w:rPr>
          <w:rFonts w:ascii="Arial" w:cs="Arial" w:eastAsia="Arial" w:hAnsi="Arial"/>
          <w:sz w:val="19"/>
          <w:szCs w:val="19"/>
          <w:color w:val="auto"/>
        </w:rPr>
        <w:t>”, each a “</w:t>
      </w:r>
      <w:r>
        <w:rPr>
          <w:rFonts w:ascii="Arial" w:cs="Arial" w:eastAsia="Arial" w:hAnsi="Arial"/>
          <w:sz w:val="19"/>
          <w:szCs w:val="19"/>
          <w:b w:val="1"/>
          <w:bCs w:val="1"/>
          <w:color w:val="auto"/>
        </w:rPr>
        <w:t>Party</w:t>
      </w:r>
      <w:r>
        <w:rPr>
          <w:rFonts w:ascii="Arial" w:cs="Arial" w:eastAsia="Arial" w:hAnsi="Arial"/>
          <w:sz w:val="19"/>
          <w:szCs w:val="19"/>
          <w:color w:val="auto"/>
        </w:rPr>
        <w:t>”). As of the date (the “</w:t>
      </w:r>
      <w:r>
        <w:rPr>
          <w:rFonts w:ascii="Arial" w:cs="Arial" w:eastAsia="Arial" w:hAnsi="Arial"/>
          <w:sz w:val="19"/>
          <w:szCs w:val="19"/>
          <w:b w:val="1"/>
          <w:bCs w:val="1"/>
          <w:color w:val="auto"/>
        </w:rPr>
        <w:t>Execution Date</w:t>
      </w:r>
      <w:r>
        <w:rPr>
          <w:rFonts w:ascii="Arial" w:cs="Arial" w:eastAsia="Arial" w:hAnsi="Arial"/>
          <w:sz w:val="19"/>
          <w:szCs w:val="19"/>
          <w:color w:val="auto"/>
        </w:rPr>
        <w:t>”) this Agreement has been executed by both Parties, it will be deemed effective as of November 1, 2018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is currently employed by Company as its Executive Vice President and Chief Operating Officer;</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Company wishes to continue to employ Executive and Executive wishes to be employed by Company on the terms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herein; and</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intend for this Agreement to set forth all of the terms and conditions of Executive’s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to supersede and replace all prior agreements, arrangements, representations or understandings between the Parties regarding Executive’s employment with Company, except for those prior agreements specifically identified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and covenants contained herein, the Parties agree as follows:</w:t>
      </w:r>
    </w:p>
    <w:p>
      <w:pPr>
        <w:spacing w:after="0" w:line="241" w:lineRule="exact"/>
        <w:rPr>
          <w:sz w:val="20"/>
          <w:szCs w:val="20"/>
          <w:color w:val="auto"/>
        </w:rPr>
      </w:pPr>
    </w:p>
    <w:p>
      <w:pPr>
        <w:ind w:firstLine="8"/>
        <w:spacing w:after="0" w:line="295" w:lineRule="auto"/>
        <w:tabs>
          <w:tab w:leader="none" w:pos="797"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POSITION. </w:t>
      </w:r>
      <w:r>
        <w:rPr>
          <w:rFonts w:ascii="Arial" w:cs="Arial" w:eastAsia="Arial" w:hAnsi="Arial"/>
          <w:sz w:val="20"/>
          <w:szCs w:val="20"/>
          <w:color w:val="auto"/>
        </w:rPr>
        <w:t>Company will continue to employ Executive and Executive shall continue to serve Company in the capacity of</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Vice President and Chief Operating Officer (“</w:t>
      </w:r>
      <w:r>
        <w:rPr>
          <w:rFonts w:ascii="Arial" w:cs="Arial" w:eastAsia="Arial" w:hAnsi="Arial"/>
          <w:sz w:val="20"/>
          <w:szCs w:val="20"/>
          <w:b w:val="1"/>
          <w:bCs w:val="1"/>
          <w:color w:val="auto"/>
        </w:rPr>
        <w:t>COO</w:t>
      </w:r>
      <w:r>
        <w:rPr>
          <w:rFonts w:ascii="Arial" w:cs="Arial" w:eastAsia="Arial" w:hAnsi="Arial"/>
          <w:sz w:val="20"/>
          <w:szCs w:val="20"/>
          <w:color w:val="auto"/>
        </w:rPr>
        <w:t>”) of Company and President of CooperVision, Inc. (“</w:t>
      </w:r>
      <w:r>
        <w:rPr>
          <w:rFonts w:ascii="Arial" w:cs="Arial" w:eastAsia="Arial" w:hAnsi="Arial"/>
          <w:sz w:val="20"/>
          <w:szCs w:val="20"/>
          <w:b w:val="1"/>
          <w:bCs w:val="1"/>
          <w:color w:val="auto"/>
        </w:rPr>
        <w:t>CVI</w:t>
      </w:r>
      <w:r>
        <w:rPr>
          <w:rFonts w:ascii="Arial" w:cs="Arial" w:eastAsia="Arial" w:hAnsi="Arial"/>
          <w:sz w:val="20"/>
          <w:szCs w:val="20"/>
          <w:color w:val="auto"/>
        </w:rPr>
        <w:t>”).</w:t>
      </w:r>
    </w:p>
    <w:p>
      <w:pPr>
        <w:spacing w:after="0" w:line="150" w:lineRule="exact"/>
        <w:rPr>
          <w:rFonts w:ascii="Arial" w:cs="Arial" w:eastAsia="Arial" w:hAnsi="Arial"/>
          <w:sz w:val="20"/>
          <w:szCs w:val="20"/>
          <w:b w:val="1"/>
          <w:bCs w:val="1"/>
          <w:color w:val="auto"/>
        </w:rPr>
      </w:pPr>
    </w:p>
    <w:p>
      <w:pPr>
        <w:jc w:val="both"/>
        <w:ind w:firstLine="8"/>
        <w:spacing w:after="0" w:line="270" w:lineRule="auto"/>
        <w:tabs>
          <w:tab w:leader="none" w:pos="34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w:t>
      </w:r>
      <w:r>
        <w:rPr>
          <w:rFonts w:ascii="Arial" w:cs="Arial" w:eastAsia="Arial" w:hAnsi="Arial"/>
          <w:sz w:val="18"/>
          <w:szCs w:val="18"/>
          <w:color w:val="auto"/>
        </w:rPr>
        <w:t>As Executive Vice President and COO of Company and President of CVI, Executive shall render exclusive, full-time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CVI, and their subsidiaries, and exercise such authority and perform such duties as assigned to Executive by Company’s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Executive shall report to the CEO. Executive shall perform services under this Agreement primarily at Company’s office in Pleasanton, California, and undertake business travel as necessary in performing the duties of his position. Subject to the terms of this Agreement, Executive’s responsibilities, working conditions and duties may be modified at the sole discretion of the CEO or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While employed by Company, Executive shall not compete with, or prepare to compete with Company, and Executive shall devote Executive’s best efforts and full business time, skill and attention to performance of Executive’s duties on behalf of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Executive may engage in civic and not-for-profit activities (</w:t>
      </w:r>
      <w:r>
        <w:rPr>
          <w:rFonts w:ascii="Arial" w:cs="Arial" w:eastAsia="Arial" w:hAnsi="Arial"/>
          <w:sz w:val="18"/>
          <w:szCs w:val="18"/>
          <w:i w:val="1"/>
          <w:iCs w:val="1"/>
          <w:color w:val="auto"/>
        </w:rPr>
        <w:t>e.g.</w:t>
      </w:r>
      <w:r>
        <w:rPr>
          <w:rFonts w:ascii="Arial" w:cs="Arial" w:eastAsia="Arial" w:hAnsi="Arial"/>
          <w:sz w:val="18"/>
          <w:szCs w:val="18"/>
          <w:color w:val="auto"/>
        </w:rPr>
        <w:t xml:space="preserve"> charitable and industry association activities) as long as such activities do not materially interfere with Executive’s obligations hereunder or conflict with the interests of Company. During Executive’s employment with Company, Executive agrees not to engage in any business or for-profit activities outside Company, including serving on any advisory boards or boards of directors of for-profit entities, except with the prior written approval of the Board, which approval may be rescinded at any time in the Board’s sole discretion; provided however, that in the event of such rescission Executive shall be permitted reasonable time for orderly withdrawal from any board with respect to which such consent has been rescinded. By signing this Agreement, Executive represents that, to the best of Executive’s knowledge, Executive is not subject to any other contract or duty that would interfere in any way with Executive’s employment with Company or performance of employment duties hereunder.</w:t>
      </w:r>
    </w:p>
    <w:p>
      <w:pPr>
        <w:spacing w:after="0" w:line="167" w:lineRule="exact"/>
        <w:rPr>
          <w:rFonts w:ascii="Arial" w:cs="Arial" w:eastAsia="Arial" w:hAnsi="Arial"/>
          <w:sz w:val="18"/>
          <w:szCs w:val="18"/>
          <w:b w:val="1"/>
          <w:bCs w:val="1"/>
          <w:color w:val="auto"/>
        </w:rPr>
      </w:pPr>
    </w:p>
    <w:p>
      <w:pPr>
        <w:ind w:firstLine="8"/>
        <w:spacing w:after="0" w:line="267" w:lineRule="auto"/>
        <w:tabs>
          <w:tab w:leader="none" w:pos="436"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POLICIES AND PROCEDURES. </w:t>
      </w:r>
      <w:r>
        <w:rPr>
          <w:rFonts w:ascii="Arial" w:cs="Arial" w:eastAsia="Arial" w:hAnsi="Arial"/>
          <w:sz w:val="20"/>
          <w:szCs w:val="20"/>
          <w:color w:val="auto"/>
        </w:rPr>
        <w:t>Executive shall be subject to and will comply with the policies and procedures of Company, as</w:t>
      </w:r>
      <w:r>
        <w:rPr>
          <w:rFonts w:ascii="Arial" w:cs="Arial" w:eastAsia="Arial" w:hAnsi="Arial"/>
          <w:sz w:val="20"/>
          <w:szCs w:val="20"/>
          <w:b w:val="1"/>
          <w:bCs w:val="1"/>
          <w:color w:val="auto"/>
        </w:rPr>
        <w:t xml:space="preserve"> </w:t>
      </w:r>
      <w:r>
        <w:rPr>
          <w:rFonts w:ascii="Arial" w:cs="Arial" w:eastAsia="Arial" w:hAnsi="Arial"/>
          <w:sz w:val="20"/>
          <w:szCs w:val="20"/>
          <w:color w:val="auto"/>
        </w:rPr>
        <w:t>modified from time to time at Company’s sole discretion, except to the extent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12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any such policy or procedure specifically conflicts with the express terms of this Agreement (in which case, this Agreement shall control).</w:t>
      </w:r>
    </w:p>
    <w:p>
      <w:pPr>
        <w:spacing w:after="0" w:line="233" w:lineRule="exact"/>
        <w:rPr>
          <w:sz w:val="20"/>
          <w:szCs w:val="20"/>
          <w:color w:val="auto"/>
        </w:rPr>
      </w:pPr>
    </w:p>
    <w:p>
      <w:pPr>
        <w:jc w:val="both"/>
        <w:ind w:firstLine="8"/>
        <w:spacing w:after="0" w:line="277" w:lineRule="auto"/>
        <w:tabs>
          <w:tab w:leader="none" w:pos="34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For services rendered hereunder, Executive shall receive an initial base salary at the rate of $700,000 per year,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payroll withholdings and deductions, which shall be deemed to have been effective as of November 1, 2018, and an initial true-up payment will be made within fifteen (15) days of the Execution Date. Otherwise, such base salary amount will be paid periodically in accordance with ordinary Company payroll practices. Executive’s base salary shall be subject to annual reviews and periodic adjustment by the Compensation Committee of the Board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which has full discretion to adjust Executive’s base salary. (For purposes of this Agreement, Executive’s base salary as so adjusted from time to time, shall be referred to as the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60" w:lineRule="exact"/>
        <w:rPr>
          <w:rFonts w:ascii="Arial" w:cs="Arial" w:eastAsia="Arial" w:hAnsi="Arial"/>
          <w:sz w:val="18"/>
          <w:szCs w:val="18"/>
          <w:b w:val="1"/>
          <w:bCs w:val="1"/>
          <w:color w:val="auto"/>
        </w:rPr>
      </w:pPr>
    </w:p>
    <w:p>
      <w:pPr>
        <w:jc w:val="both"/>
        <w:ind w:firstLine="8"/>
        <w:spacing w:after="0" w:line="270" w:lineRule="auto"/>
        <w:tabs>
          <w:tab w:leader="none" w:pos="38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BONUS. </w:t>
      </w:r>
      <w:r>
        <w:rPr>
          <w:rFonts w:ascii="Arial" w:cs="Arial" w:eastAsia="Arial" w:hAnsi="Arial"/>
          <w:sz w:val="18"/>
          <w:szCs w:val="18"/>
          <w:color w:val="auto"/>
        </w:rPr>
        <w:t>Executive will be eligible to receive an annual performance bonus (“</w:t>
      </w:r>
      <w:r>
        <w:rPr>
          <w:rFonts w:ascii="Arial" w:cs="Arial" w:eastAsia="Arial" w:hAnsi="Arial"/>
          <w:sz w:val="18"/>
          <w:szCs w:val="18"/>
          <w:b w:val="1"/>
          <w:bCs w:val="1"/>
          <w:color w:val="auto"/>
        </w:rPr>
        <w:t>Performance Bonus</w:t>
      </w:r>
      <w:r>
        <w:rPr>
          <w:rFonts w:ascii="Arial" w:cs="Arial" w:eastAsia="Arial" w:hAnsi="Arial"/>
          <w:sz w:val="18"/>
          <w:szCs w:val="18"/>
          <w:color w:val="auto"/>
        </w:rPr>
        <w:t>”), with a target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level (the </w:t>
      </w:r>
      <w:r>
        <w:rPr>
          <w:rFonts w:ascii="Arial" w:cs="Arial" w:eastAsia="Arial" w:hAnsi="Arial"/>
          <w:sz w:val="18"/>
          <w:szCs w:val="18"/>
          <w:b w:val="1"/>
          <w:bCs w:val="1"/>
          <w:color w:val="auto"/>
        </w:rPr>
        <w:t>“Bonus Target”</w:t>
      </w:r>
      <w:r>
        <w:rPr>
          <w:rFonts w:ascii="Arial" w:cs="Arial" w:eastAsia="Arial" w:hAnsi="Arial"/>
          <w:sz w:val="18"/>
          <w:szCs w:val="18"/>
          <w:color w:val="auto"/>
        </w:rPr>
        <w:t>) determined pursuant to Company’s Incentive Performance Plan (the “</w:t>
      </w:r>
      <w:r>
        <w:rPr>
          <w:rFonts w:ascii="Arial" w:cs="Arial" w:eastAsia="Arial" w:hAnsi="Arial"/>
          <w:sz w:val="18"/>
          <w:szCs w:val="18"/>
          <w:b w:val="1"/>
          <w:bCs w:val="1"/>
          <w:color w:val="auto"/>
        </w:rPr>
        <w:t>IPP</w:t>
      </w:r>
      <w:r>
        <w:rPr>
          <w:rFonts w:ascii="Arial" w:cs="Arial" w:eastAsia="Arial" w:hAnsi="Arial"/>
          <w:sz w:val="18"/>
          <w:szCs w:val="18"/>
          <w:color w:val="auto"/>
        </w:rPr>
        <w:t>”). The Board or its Compensation Committee will use best efforts to determine the Bonus Target for each year no later than March 31 of such year. The annual amount of such Performance Bonus shall be determined in the sole discretion of the Board or by its Compensation Committee (under authority delegated by the Board), based upon a review of both Executive's individual performance and Company’s performance, pursuant to Company’s IPP. The Board or the Compensation Committee, in their sole discretion, shall determine: the extent to which both Company and Executive have achieved any corporate or individual performance goals or targets, or other terms and conditions applicable to the Performance Bonus; the amount of the Performance Bonus (if any); and whether and to what extent a Performance Bonus may be paid with respect to any year during which Executive's employment terminates, subject to the terms and conditions of this Agreement. Performance Bonuses are not earned until they are approved in writing by the Board or Compensation Committee and paid to senior executive officers of Company. Any Performance Bonuses earned shall be paid subject to applicable employment taxes, withholding and deductions. Except as otherwise expressly provided in this Agreement, Executive must remain continuously employed with Company through the date that Performance Bonuses are generally paid to senior executive officers of Company in order to be eligible to receive such Performance Bonus.</w:t>
      </w:r>
    </w:p>
    <w:p>
      <w:pPr>
        <w:spacing w:after="0" w:line="173" w:lineRule="exact"/>
        <w:rPr>
          <w:rFonts w:ascii="Arial" w:cs="Arial" w:eastAsia="Arial" w:hAnsi="Arial"/>
          <w:sz w:val="18"/>
          <w:szCs w:val="18"/>
          <w:b w:val="1"/>
          <w:bCs w:val="1"/>
          <w:color w:val="auto"/>
        </w:rPr>
      </w:pPr>
    </w:p>
    <w:p>
      <w:pPr>
        <w:ind w:left="340" w:hanging="332"/>
        <w:spacing w:after="0"/>
        <w:tabs>
          <w:tab w:leader="none" w:pos="34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BENEFITS. </w:t>
      </w:r>
      <w:r>
        <w:rPr>
          <w:rFonts w:ascii="Arial" w:cs="Arial" w:eastAsia="Arial" w:hAnsi="Arial"/>
          <w:sz w:val="19"/>
          <w:szCs w:val="19"/>
          <w:color w:val="auto"/>
        </w:rPr>
        <w:t>While employed by Company pursuant to this Agreement, Executive shall be entitled to the following benefits:</w:t>
      </w:r>
    </w:p>
    <w:p>
      <w:pPr>
        <w:spacing w:after="0" w:line="227" w:lineRule="exact"/>
        <w:rPr>
          <w:rFonts w:ascii="Arial" w:cs="Arial" w:eastAsia="Arial" w:hAnsi="Arial"/>
          <w:sz w:val="19"/>
          <w:szCs w:val="19"/>
          <w:b w:val="1"/>
          <w:bCs w:val="1"/>
          <w:color w:val="auto"/>
        </w:rPr>
      </w:pPr>
    </w:p>
    <w:p>
      <w:pPr>
        <w:jc w:val="both"/>
        <w:ind w:firstLine="656"/>
        <w:spacing w:after="0" w:line="280" w:lineRule="auto"/>
        <w:tabs>
          <w:tab w:leader="none" w:pos="1099"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Benefits</w:t>
      </w:r>
      <w:r>
        <w:rPr>
          <w:rFonts w:ascii="Arial" w:cs="Arial" w:eastAsia="Arial" w:hAnsi="Arial"/>
          <w:sz w:val="18"/>
          <w:szCs w:val="18"/>
          <w:color w:val="auto"/>
        </w:rPr>
        <w:t>. Executive shall be entitled to all benefits to which other executive officers of Company are entitled,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and conditions in effect from time to time, including, without limitation, participation in pension and profit sharing plans, Company’s 401(k) plan, group insurance policies and plans (including medical, health, vision, and disability insurance policies and plans, and the like), and executive perquisites, which may be maintained by Company for the benefit of its executives. Company reserves the right to alter, discontinue and/or amend its benefit plans and programs, as well as any executive perquisites, from time to time in its sole discretion.</w:t>
      </w:r>
    </w:p>
    <w:p>
      <w:pPr>
        <w:spacing w:after="0" w:line="156" w:lineRule="exact"/>
        <w:rPr>
          <w:rFonts w:ascii="Arial" w:cs="Arial" w:eastAsia="Arial" w:hAnsi="Arial"/>
          <w:sz w:val="18"/>
          <w:szCs w:val="18"/>
          <w:b w:val="1"/>
          <w:bCs w:val="1"/>
          <w:color w:val="auto"/>
        </w:rPr>
      </w:pPr>
    </w:p>
    <w:p>
      <w:pPr>
        <w:jc w:val="both"/>
        <w:ind w:firstLine="656"/>
        <w:spacing w:after="0" w:line="248" w:lineRule="auto"/>
        <w:tabs>
          <w:tab w:leader="none" w:pos="1111" w:val="left"/>
        </w:tabs>
        <w:numPr>
          <w:ilvl w:val="1"/>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Expense Reimbursement. </w:t>
      </w:r>
      <w:r>
        <w:rPr>
          <w:rFonts w:ascii="Arial" w:cs="Arial" w:eastAsia="Arial" w:hAnsi="Arial"/>
          <w:sz w:val="20"/>
          <w:szCs w:val="20"/>
          <w:color w:val="auto"/>
        </w:rPr>
        <w:t>Executive shall receive reimbursement for reasonable out-of-pocket expenses incurred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performance of Executive’s duties hereunder, including, but not limited to, any business travel on behalf of Company or its subsidiaries, in accordance with Company’s expense reimbursement policies and procedures in effect from time to time, including a requirement for specific itemization and documentation of such expenses.</w:t>
      </w:r>
    </w:p>
    <w:p>
      <w:pPr>
        <w:spacing w:after="0" w:line="183" w:lineRule="exact"/>
        <w:rPr>
          <w:rFonts w:ascii="Arial" w:cs="Arial" w:eastAsia="Arial" w:hAnsi="Arial"/>
          <w:sz w:val="20"/>
          <w:szCs w:val="20"/>
          <w:b w:val="1"/>
          <w:bCs w:val="1"/>
          <w:color w:val="auto"/>
        </w:rPr>
      </w:pPr>
    </w:p>
    <w:p>
      <w:pPr>
        <w:ind w:left="340" w:hanging="332"/>
        <w:spacing w:after="0"/>
        <w:tabs>
          <w:tab w:leader="none" w:pos="34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 RIGHTS AND DUTIES.</w:t>
      </w:r>
    </w:p>
    <w:p>
      <w:pPr>
        <w:spacing w:after="0" w:line="215" w:lineRule="exact"/>
        <w:rPr>
          <w:rFonts w:ascii="Arial" w:cs="Arial" w:eastAsia="Arial" w:hAnsi="Arial"/>
          <w:sz w:val="20"/>
          <w:szCs w:val="20"/>
          <w:b w:val="1"/>
          <w:bCs w:val="1"/>
          <w:color w:val="auto"/>
        </w:rPr>
      </w:pPr>
    </w:p>
    <w:p>
      <w:pPr>
        <w:ind w:firstLine="656"/>
        <w:spacing w:after="0" w:line="267" w:lineRule="auto"/>
        <w:tabs>
          <w:tab w:leader="none" w:pos="1167" w:val="left"/>
        </w:tabs>
        <w:numPr>
          <w:ilvl w:val="1"/>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Executive agrees to execute and abide by the Employee Confidential Information and Invention</w:t>
      </w:r>
      <w:r>
        <w:rPr>
          <w:rFonts w:ascii="Arial" w:cs="Arial" w:eastAsia="Arial" w:hAnsi="Arial"/>
          <w:sz w:val="20"/>
          <w:szCs w:val="20"/>
          <w:b w:val="1"/>
          <w:bCs w:val="1"/>
          <w:color w:val="auto"/>
        </w:rPr>
        <w:t xml:space="preserve"> </w:t>
      </w:r>
      <w:r>
        <w:rPr>
          <w:rFonts w:ascii="Arial" w:cs="Arial" w:eastAsia="Arial" w:hAnsi="Arial"/>
          <w:sz w:val="20"/>
          <w:szCs w:val="20"/>
          <w:color w:val="auto"/>
        </w:rPr>
        <w:t>Assignment Agreement (the “</w:t>
      </w:r>
      <w:r>
        <w:rPr>
          <w:rFonts w:ascii="Arial" w:cs="Arial" w:eastAsia="Arial" w:hAnsi="Arial"/>
          <w:sz w:val="20"/>
          <w:szCs w:val="20"/>
          <w:b w:val="1"/>
          <w:bCs w:val="1"/>
          <w:color w:val="auto"/>
        </w:rPr>
        <w:t>Confidential Information Agreement</w:t>
      </w:r>
      <w:r>
        <w:rPr>
          <w:rFonts w:ascii="Arial" w:cs="Arial" w:eastAsia="Arial" w:hAnsi="Arial"/>
          <w:sz w:val="20"/>
          <w:szCs w:val="20"/>
          <w:color w:val="auto"/>
        </w:rPr>
        <w:t xml:space="preserve">”),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6" w:right="239" w:bottom="1440" w:gutter="0" w:footer="0" w:header="0"/>
        </w:sectPr>
      </w:pPr>
    </w:p>
    <w:bookmarkStart w:id="87" w:name="page88"/>
    <w:bookmarkEnd w:id="87"/>
    <w:p>
      <w:pPr>
        <w:jc w:val="both"/>
        <w:ind w:firstLine="656"/>
        <w:spacing w:after="0" w:line="253" w:lineRule="auto"/>
        <w:tabs>
          <w:tab w:leader="none" w:pos="1219" w:val="left"/>
        </w:tabs>
        <w:numPr>
          <w:ilvl w:val="1"/>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Exclusive Property</w:t>
      </w:r>
      <w:r>
        <w:rPr>
          <w:rFonts w:ascii="Arial" w:cs="Arial" w:eastAsia="Arial" w:hAnsi="Arial"/>
          <w:sz w:val="20"/>
          <w:szCs w:val="20"/>
          <w:color w:val="auto"/>
        </w:rPr>
        <w:t>. Executive agrees that all Company-related business procured by Executive, and all Company-related</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opportunities and plans made known to Executive while employed by Company, are and shall remain the permanent and exclusive property of Company.</w:t>
      </w:r>
    </w:p>
    <w:p>
      <w:pPr>
        <w:spacing w:after="0" w:line="177" w:lineRule="exact"/>
        <w:rPr>
          <w:rFonts w:ascii="Arial" w:cs="Arial" w:eastAsia="Arial" w:hAnsi="Arial"/>
          <w:sz w:val="20"/>
          <w:szCs w:val="20"/>
          <w:b w:val="1"/>
          <w:bCs w:val="1"/>
          <w:color w:val="auto"/>
        </w:rPr>
      </w:pPr>
    </w:p>
    <w:p>
      <w:pPr>
        <w:ind w:left="340" w:hanging="332"/>
        <w:spacing w:after="0"/>
        <w:tabs>
          <w:tab w:leader="none" w:pos="34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w:t>
      </w:r>
    </w:p>
    <w:p>
      <w:pPr>
        <w:spacing w:after="0" w:line="215" w:lineRule="exact"/>
        <w:rPr>
          <w:rFonts w:ascii="Arial" w:cs="Arial" w:eastAsia="Arial" w:hAnsi="Arial"/>
          <w:sz w:val="20"/>
          <w:szCs w:val="20"/>
          <w:b w:val="1"/>
          <w:bCs w:val="1"/>
          <w:color w:val="auto"/>
        </w:rPr>
      </w:pPr>
    </w:p>
    <w:p>
      <w:pPr>
        <w:jc w:val="both"/>
        <w:ind w:firstLine="656"/>
        <w:spacing w:after="0" w:line="246" w:lineRule="auto"/>
        <w:tabs>
          <w:tab w:leader="none" w:pos="1059" w:val="left"/>
        </w:tabs>
        <w:numPr>
          <w:ilvl w:val="1"/>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At-Will Status. </w:t>
      </w:r>
      <w:r>
        <w:rPr>
          <w:rFonts w:ascii="Arial" w:cs="Arial" w:eastAsia="Arial" w:hAnsi="Arial"/>
          <w:sz w:val="20"/>
          <w:szCs w:val="20"/>
          <w:color w:val="auto"/>
        </w:rPr>
        <w:t>Company and Executive understand and agree that this employment relationship is at-will. Accordingly, there are</w:t>
      </w:r>
      <w:r>
        <w:rPr>
          <w:rFonts w:ascii="Arial" w:cs="Arial" w:eastAsia="Arial" w:hAnsi="Arial"/>
          <w:sz w:val="20"/>
          <w:szCs w:val="20"/>
          <w:b w:val="1"/>
          <w:bCs w:val="1"/>
          <w:color w:val="auto"/>
        </w:rPr>
        <w:t xml:space="preserve"> </w:t>
      </w:r>
      <w:r>
        <w:rPr>
          <w:rFonts w:ascii="Arial" w:cs="Arial" w:eastAsia="Arial" w:hAnsi="Arial"/>
          <w:sz w:val="20"/>
          <w:szCs w:val="20"/>
          <w:color w:val="auto"/>
        </w:rPr>
        <w:t>no promises or representations concerning the duration of Executive’s employment relationship, which may be terminated by either Executive or Company at any time, with or without Cause or Good Reason (as defined herein), and with or without advance notice. Executive’s at-will status cannot be altered except in an express written agreement signed by Executive and Company with specific written approval of Company’s Board.</w:t>
      </w:r>
    </w:p>
    <w:p>
      <w:pPr>
        <w:spacing w:after="0" w:line="185" w:lineRule="exact"/>
        <w:rPr>
          <w:rFonts w:ascii="Arial" w:cs="Arial" w:eastAsia="Arial" w:hAnsi="Arial"/>
          <w:sz w:val="20"/>
          <w:szCs w:val="20"/>
          <w:b w:val="1"/>
          <w:bCs w:val="1"/>
          <w:color w:val="auto"/>
        </w:rPr>
      </w:pPr>
    </w:p>
    <w:p>
      <w:pPr>
        <w:jc w:val="both"/>
        <w:ind w:firstLine="656"/>
        <w:spacing w:after="0" w:line="280" w:lineRule="auto"/>
        <w:tabs>
          <w:tab w:leader="none" w:pos="1111"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Resignation by Executive. </w:t>
      </w:r>
      <w:r>
        <w:rPr>
          <w:rFonts w:ascii="Arial" w:cs="Arial" w:eastAsia="Arial" w:hAnsi="Arial"/>
          <w:sz w:val="18"/>
          <w:szCs w:val="18"/>
          <w:color w:val="auto"/>
        </w:rPr>
        <w:t>Executive may resign from Company with or without Good Reason. Executive agrees to provide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three (3) weeks advance written notice of a resignation without Good Reason, to allow for an orderly transition. Company may accelerate the date Executive’s resignation is to become effective, in its sole discretion. In the event Company accelerates the resignation effective date, Executive will be paid Base Salary severance through the originally tendered resignation date, provided that in no such event will Executive be entitled under this paragraph 9(b) to receive more than three (3) months of Base Salary severance beyond the accelerated resignation date.</w:t>
      </w:r>
    </w:p>
    <w:p>
      <w:pPr>
        <w:spacing w:after="0" w:line="156" w:lineRule="exact"/>
        <w:rPr>
          <w:rFonts w:ascii="Arial" w:cs="Arial" w:eastAsia="Arial" w:hAnsi="Arial"/>
          <w:sz w:val="18"/>
          <w:szCs w:val="18"/>
          <w:b w:val="1"/>
          <w:bCs w:val="1"/>
          <w:color w:val="auto"/>
        </w:rPr>
      </w:pPr>
    </w:p>
    <w:p>
      <w:pPr>
        <w:jc w:val="both"/>
        <w:ind w:firstLine="656"/>
        <w:spacing w:after="0" w:line="258" w:lineRule="auto"/>
        <w:tabs>
          <w:tab w:leader="none" w:pos="1088" w:val="left"/>
        </w:tabs>
        <w:numPr>
          <w:ilvl w:val="1"/>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Cause.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for Company to terminate Executive shall mean: (i)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conviction or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felony; (ii) Executive’s willful misconduct in performing Executive’s duties, where such misconduct has had or is reasonably likely to have a material adverse effect upon Company; or (iii) any material breach of this Agreement, the Confidential Information Agreement, any other fully executed agreement with Company, or Company’s policies. Notwithstanding the foregoing, if any act or omission giving rise to Cause is reasonably capable of cure, “</w:t>
      </w:r>
      <w:r>
        <w:rPr>
          <w:rFonts w:ascii="Arial" w:cs="Arial" w:eastAsia="Arial" w:hAnsi="Arial"/>
          <w:sz w:val="19"/>
          <w:szCs w:val="19"/>
          <w:b w:val="1"/>
          <w:bCs w:val="1"/>
          <w:color w:val="auto"/>
        </w:rPr>
        <w:t>Cause</w:t>
      </w:r>
      <w:r>
        <w:rPr>
          <w:rFonts w:ascii="Arial" w:cs="Arial" w:eastAsia="Arial" w:hAnsi="Arial"/>
          <w:sz w:val="19"/>
          <w:szCs w:val="19"/>
          <w:color w:val="auto"/>
        </w:rPr>
        <w:t xml:space="preserve">” for Company to terminate Executive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exist unless: (x) Company provides Executive with specific written notice of the existence of the condition giving rise to Cause within thirty (30) days after the condition giving rise to Cause was first reasonably discoverable by Company; and (y) Executive fails to cure such condition within thirty (30) days after Executive’s receipt of such written notice.</w:t>
      </w:r>
    </w:p>
    <w:p>
      <w:pPr>
        <w:spacing w:after="0" w:line="173" w:lineRule="exact"/>
        <w:rPr>
          <w:rFonts w:ascii="Arial" w:cs="Arial" w:eastAsia="Arial" w:hAnsi="Arial"/>
          <w:sz w:val="19"/>
          <w:szCs w:val="19"/>
          <w:b w:val="1"/>
          <w:bCs w:val="1"/>
          <w:color w:val="auto"/>
        </w:rPr>
      </w:pPr>
    </w:p>
    <w:p>
      <w:pPr>
        <w:jc w:val="both"/>
        <w:ind w:firstLine="656"/>
        <w:spacing w:after="0" w:line="255" w:lineRule="auto"/>
        <w:tabs>
          <w:tab w:leader="none" w:pos="1151" w:val="left"/>
        </w:tabs>
        <w:numPr>
          <w:ilvl w:val="1"/>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Good Reason.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means the occurrence of any of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Executive’s prior written consent: (i) one or more reductions in Executive’s combined Base Salary and Bonus Target that result in a total reduction of more than ten percent (10%) in Executive’s target package (which consists of the combined cash value of the Base Salary and Bonus Target, irrespective of the actual amount of any Performance Bonus awarded) over the twelve (12) month period immediately preceding such reductions, unless such reductions are made pursuant to one or more across-the-board reductions of all senior executives’ base salaries and/or bonus targets; (ii) a material diminution of Executive’s duties, authority or responsibilities taken as a whole; or (iii) an involuntary relocation of Executive’s principal place of employment to a location that increases Executive’s one-way commute from Executive’s principal residence by more than fifty (50) miles. For avoidance of doubt, any change resulting in Executive no longer reporting to the CEO shall constitute a material diminution of Executive’s duties, authorities, or responsibilities as set forth in clause (ii) above in this paragraph. Notwithstanding the foregoing, “</w:t>
      </w:r>
      <w:r>
        <w:rPr>
          <w:rFonts w:ascii="Arial" w:cs="Arial" w:eastAsia="Arial" w:hAnsi="Arial"/>
          <w:sz w:val="19"/>
          <w:szCs w:val="19"/>
          <w:b w:val="1"/>
          <w:bCs w:val="1"/>
          <w:color w:val="auto"/>
        </w:rPr>
        <w:t>Good Reason</w:t>
      </w:r>
      <w:r>
        <w:rPr>
          <w:rFonts w:ascii="Arial" w:cs="Arial" w:eastAsia="Arial" w:hAnsi="Arial"/>
          <w:sz w:val="19"/>
          <w:szCs w:val="19"/>
          <w:color w:val="auto"/>
        </w:rPr>
        <w:t xml:space="preserve">” for Executive to resign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exist unless: (x) Executive provides Company with specific written notice of the existence of the condition giving rise to Good Reason within ninety (90) days after its initial occurrence; (y) Company fails to remedy such condition within thirty (30) days after its receipt of such written notice; and (z) Executive resigns within ninety (90) days after the cure period has lapsed.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0" w:right="239" w:bottom="1440" w:gutter="0" w:footer="0" w:header="0"/>
        </w:sectPr>
      </w:pPr>
    </w:p>
    <w:bookmarkStart w:id="88" w:name="page89"/>
    <w:bookmarkEnd w:id="88"/>
    <w:p>
      <w:pPr>
        <w:jc w:val="both"/>
        <w:ind w:firstLine="656"/>
        <w:spacing w:after="0" w:line="245" w:lineRule="auto"/>
        <w:tabs>
          <w:tab w:leader="none" w:pos="1102"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Final Pay upon Termination for Any Reason. </w:t>
      </w:r>
      <w:r>
        <w:rPr>
          <w:rFonts w:ascii="Arial" w:cs="Arial" w:eastAsia="Arial" w:hAnsi="Arial"/>
          <w:sz w:val="20"/>
          <w:szCs w:val="20"/>
          <w:color w:val="auto"/>
        </w:rPr>
        <w:t>Except as otherwise provided by this Agreement and/or required by law, upon</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Executive’s employment for any reason, Company’s obligation to make payments hereunder shall cease, except that Company shall pay all amounts due and payable for Executive’s services through Executive’s last day of employment (the “</w:t>
      </w:r>
      <w:r>
        <w:rPr>
          <w:rFonts w:ascii="Arial" w:cs="Arial" w:eastAsia="Arial" w:hAnsi="Arial"/>
          <w:sz w:val="20"/>
          <w:szCs w:val="20"/>
          <w:b w:val="1"/>
          <w:bCs w:val="1"/>
          <w:color w:val="auto"/>
        </w:rPr>
        <w:t>Separation Date</w:t>
      </w:r>
      <w:r>
        <w:rPr>
          <w:rFonts w:ascii="Arial" w:cs="Arial" w:eastAsia="Arial" w:hAnsi="Arial"/>
          <w:sz w:val="20"/>
          <w:szCs w:val="20"/>
          <w:color w:val="auto"/>
        </w:rPr>
        <w:t>”), including all accrued unpaid Base Salary and Performance Bonus compensation earned through Separation Date, any benefits accrued prior to the Separation Date, all accrued but unused vacation as of the Separation Date, and any reimbursable business expenses incurred but unreimbursed as of the Separation Date.</w:t>
      </w:r>
    </w:p>
    <w:p>
      <w:pPr>
        <w:spacing w:after="0" w:line="185" w:lineRule="exact"/>
        <w:rPr>
          <w:rFonts w:ascii="Arial" w:cs="Arial" w:eastAsia="Arial" w:hAnsi="Arial"/>
          <w:sz w:val="20"/>
          <w:szCs w:val="20"/>
          <w:b w:val="1"/>
          <w:bCs w:val="1"/>
          <w:color w:val="auto"/>
        </w:rPr>
      </w:pPr>
    </w:p>
    <w:p>
      <w:pPr>
        <w:ind w:left="1040" w:hanging="384"/>
        <w:spacing w:after="0"/>
        <w:tabs>
          <w:tab w:leader="none" w:pos="104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Severance Benefits upon a Covered Termination (No Change in Control).</w:t>
      </w:r>
    </w:p>
    <w:p>
      <w:pPr>
        <w:spacing w:after="0" w:line="242" w:lineRule="exact"/>
        <w:rPr>
          <w:rFonts w:ascii="Arial" w:cs="Arial" w:eastAsia="Arial" w:hAnsi="Arial"/>
          <w:sz w:val="20"/>
          <w:szCs w:val="20"/>
          <w:b w:val="1"/>
          <w:bCs w:val="1"/>
          <w:color w:val="auto"/>
        </w:rPr>
      </w:pPr>
    </w:p>
    <w:p>
      <w:pPr>
        <w:jc w:val="both"/>
        <w:ind w:firstLine="1305"/>
        <w:spacing w:after="0" w:line="299" w:lineRule="auto"/>
        <w:tabs>
          <w:tab w:leader="none" w:pos="1856" w:val="left"/>
        </w:tabs>
        <w:numPr>
          <w:ilvl w:val="1"/>
          <w:numId w:val="87"/>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Executive’s employment is terminated by Company without Cause or due to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for Good Reason (each a “</w:t>
      </w:r>
      <w:r>
        <w:rPr>
          <w:rFonts w:ascii="Arial" w:cs="Arial" w:eastAsia="Arial" w:hAnsi="Arial"/>
          <w:sz w:val="18"/>
          <w:szCs w:val="18"/>
          <w:b w:val="1"/>
          <w:bCs w:val="1"/>
          <w:color w:val="auto"/>
        </w:rPr>
        <w:t>Covered Termination</w:t>
      </w:r>
      <w:r>
        <w:rPr>
          <w:rFonts w:ascii="Arial" w:cs="Arial" w:eastAsia="Arial" w:hAnsi="Arial"/>
          <w:sz w:val="18"/>
          <w:szCs w:val="18"/>
          <w:color w:val="auto"/>
        </w:rPr>
        <w:t>”), Executive shall be eligible to receive the following severance benefits: (1) payment of a severance amount equal to twenty-four (24) months of Executive’s Base Salary in effect immediately prior to the Separation Date (or, the level in effect prior to a reduction of Base Salary that constitutes Good Reason), less applicable payroll tax withholdings and deductions (the “</w:t>
      </w:r>
      <w:r>
        <w:rPr>
          <w:rFonts w:ascii="Arial" w:cs="Arial" w:eastAsia="Arial" w:hAnsi="Arial"/>
          <w:sz w:val="18"/>
          <w:szCs w:val="18"/>
          <w:b w:val="1"/>
          <w:bCs w:val="1"/>
          <w:color w:val="auto"/>
        </w:rPr>
        <w:t>Cash Severance</w:t>
      </w:r>
      <w:r>
        <w:rPr>
          <w:rFonts w:ascii="Arial" w:cs="Arial" w:eastAsia="Arial" w:hAnsi="Arial"/>
          <w:sz w:val="18"/>
          <w:szCs w:val="18"/>
          <w:color w:val="auto"/>
        </w:rPr>
        <w:t>”); (2) a lump sum cash payment equal to the full amount of Executive’s Bonus Target for the fiscal year in which the Separation Date occurs, less applicable employment tax withholdings and deductions (the “</w:t>
      </w:r>
      <w:r>
        <w:rPr>
          <w:rFonts w:ascii="Arial" w:cs="Arial" w:eastAsia="Arial" w:hAnsi="Arial"/>
          <w:sz w:val="18"/>
          <w:szCs w:val="18"/>
          <w:b w:val="1"/>
          <w:bCs w:val="1"/>
          <w:color w:val="auto"/>
        </w:rPr>
        <w:t>Full Target Bonus</w:t>
      </w:r>
      <w:r>
        <w:rPr>
          <w:rFonts w:ascii="Arial" w:cs="Arial" w:eastAsia="Arial" w:hAnsi="Arial"/>
          <w:sz w:val="18"/>
          <w:szCs w:val="18"/>
          <w:color w:val="auto"/>
        </w:rPr>
        <w:t>”); (3) Executive’s then-outstanding equity awards (the “</w:t>
      </w:r>
      <w:r>
        <w:rPr>
          <w:rFonts w:ascii="Arial" w:cs="Arial" w:eastAsia="Arial" w:hAnsi="Arial"/>
          <w:sz w:val="18"/>
          <w:szCs w:val="18"/>
          <w:b w:val="1"/>
          <w:bCs w:val="1"/>
          <w:color w:val="auto"/>
        </w:rPr>
        <w:t>Equity Awards</w:t>
      </w:r>
      <w:r>
        <w:rPr>
          <w:rFonts w:ascii="Arial" w:cs="Arial" w:eastAsia="Arial" w:hAnsi="Arial"/>
          <w:sz w:val="18"/>
          <w:szCs w:val="18"/>
          <w:color w:val="auto"/>
        </w:rPr>
        <w:t>”) that vest based on time will be accelerated with respect to the portion of such Equity Awards that would have become vested if Executive remained employed for twenty-four (24) months after the Separation Date, unless otherwise provided in any time-based Equity Award granted after the Effective Date; provided that, any time-based Equity Awards that are subject to “cliff” vesting, will be converted to monthly vesting, if necessary, in order to effect such vesting acceleration; and (4) the exercise period applicable to the Equity Awards will be extended until the later of (A) the first (1st) anniversary of the Separation Date; or (B)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the avoidance of doubt, the vesting of Executive’s performance-based Equity Awards that were granted under the Company’s Long-Term Performance Share Award Agreement will continue to be governed under the terms of such document. In addition, provided Executive timely elects to continue Executive’s group health insurance coverage after the Separation Date pursuant to the federal COBRA law or applicable state insurance laws such as Cal-COBRA (collectively, “</w:t>
      </w:r>
      <w:r>
        <w:rPr>
          <w:rFonts w:ascii="Arial" w:cs="Arial" w:eastAsia="Arial" w:hAnsi="Arial"/>
          <w:sz w:val="18"/>
          <w:szCs w:val="18"/>
          <w:b w:val="1"/>
          <w:bCs w:val="1"/>
          <w:color w:val="auto"/>
        </w:rPr>
        <w:t>COBRA</w:t>
      </w:r>
      <w:r>
        <w:rPr>
          <w:rFonts w:ascii="Arial" w:cs="Arial" w:eastAsia="Arial" w:hAnsi="Arial"/>
          <w:sz w:val="18"/>
          <w:szCs w:val="18"/>
          <w:color w:val="auto"/>
        </w:rPr>
        <w:t>”), and the terms of the governing health insurance policies, Company will reimburse the monthly COBRA health insurance premiums (the “</w:t>
      </w:r>
      <w:r>
        <w:rPr>
          <w:rFonts w:ascii="Arial" w:cs="Arial" w:eastAsia="Arial" w:hAnsi="Arial"/>
          <w:sz w:val="18"/>
          <w:szCs w:val="18"/>
          <w:b w:val="1"/>
          <w:bCs w:val="1"/>
          <w:color w:val="auto"/>
        </w:rPr>
        <w:t>COBRA Payments</w:t>
      </w:r>
      <w:r>
        <w:rPr>
          <w:rFonts w:ascii="Arial" w:cs="Arial" w:eastAsia="Arial" w:hAnsi="Arial"/>
          <w:sz w:val="18"/>
          <w:szCs w:val="18"/>
          <w:color w:val="auto"/>
        </w:rPr>
        <w:t>”) Executive pays to continue Executive’s health insurance coverage (including dependent coverage) for twenty-four (24) months after the Separation Date, or until such earlier date as Executive either becomes eligible for group health insurance coverage through a new employer or ceases to be eligible for COBRA coverage (the “</w:t>
      </w:r>
      <w:r>
        <w:rPr>
          <w:rFonts w:ascii="Arial" w:cs="Arial" w:eastAsia="Arial" w:hAnsi="Arial"/>
          <w:sz w:val="18"/>
          <w:szCs w:val="18"/>
          <w:b w:val="1"/>
          <w:bCs w:val="1"/>
          <w:color w:val="auto"/>
        </w:rPr>
        <w:t>COBRA Payment Period</w:t>
      </w:r>
      <w:r>
        <w:rPr>
          <w:rFonts w:ascii="Arial" w:cs="Arial" w:eastAsia="Arial" w:hAnsi="Arial"/>
          <w:sz w:val="18"/>
          <w:szCs w:val="18"/>
          <w:color w:val="auto"/>
        </w:rPr>
        <w:t>”). Executive must submit to the Company appropriate documentation of the foregoing health insurance payments, within sixty (60) days of making such payments, in order to be reimbursed. Notwithstanding the foregoing, if Company determines, in its sole discretion, that it cannot pay the COBRA Payments without a substantial risk of violating applicable law (including, without limitation, Section 2716 of the Public Health Service Act), at the end of each remaining month of the COBRA Payment Period, Company shall pay Executive directly a taxable monthly amount which, after taxes, equals the COBRA Payment amount Company would have otherwise paid to Executive (assuming a 35% tax rate). Executive agrees to promptly notify Company in writing if Executive becomes eligible for group health insurance coverage through a new employer before the end of the specified reimbursement period. (All severance benefits provided in this entire subsection 8(f)(i) are referred to collectively as the “</w:t>
      </w:r>
      <w:r>
        <w:rPr>
          <w:rFonts w:ascii="Arial" w:cs="Arial" w:eastAsia="Arial" w:hAnsi="Arial"/>
          <w:sz w:val="18"/>
          <w:szCs w:val="18"/>
          <w:b w:val="1"/>
          <w:bCs w:val="1"/>
          <w:color w:val="auto"/>
        </w:rPr>
        <w:t>Severance Benefits.</w:t>
      </w:r>
      <w:r>
        <w:rPr>
          <w:rFonts w:ascii="Arial" w:cs="Arial" w:eastAsia="Arial" w:hAnsi="Arial"/>
          <w:sz w:val="18"/>
          <w:szCs w:val="18"/>
          <w:color w:val="auto"/>
        </w:rPr>
        <w:t>”)</w:t>
      </w:r>
    </w:p>
    <w:p>
      <w:pPr>
        <w:spacing w:after="0" w:line="179" w:lineRule="exact"/>
        <w:rPr>
          <w:rFonts w:ascii="Arial" w:cs="Arial" w:eastAsia="Arial" w:hAnsi="Arial"/>
          <w:sz w:val="19"/>
          <w:szCs w:val="19"/>
          <w:b w:val="1"/>
          <w:bCs w:val="1"/>
          <w:color w:val="auto"/>
        </w:rPr>
      </w:pPr>
    </w:p>
    <w:p>
      <w:pPr>
        <w:jc w:val="both"/>
        <w:ind w:firstLine="1305"/>
        <w:spacing w:after="0" w:line="268" w:lineRule="auto"/>
        <w:tabs>
          <w:tab w:leader="none" w:pos="1754" w:val="left"/>
        </w:tabs>
        <w:numPr>
          <w:ilvl w:val="1"/>
          <w:numId w:val="87"/>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Preconditions. </w:t>
      </w:r>
      <w:r>
        <w:rPr>
          <w:rFonts w:ascii="Arial" w:cs="Arial" w:eastAsia="Arial" w:hAnsi="Arial"/>
          <w:sz w:val="20"/>
          <w:szCs w:val="20"/>
          <w:color w:val="auto"/>
        </w:rPr>
        <w:t>As a precondition to receiving any Severance Benefits, Executive must (1) remain in compliance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continuing obligations Executive owes to Company, including those under this Agreement and Executive’s Confidential Information Agreement, and (2) within twenty-one (21)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0" w:right="239" w:bottom="1440" w:gutter="0" w:footer="0" w:header="0"/>
        </w:sectPr>
      </w:pPr>
    </w:p>
    <w:bookmarkStart w:id="89" w:name="page90"/>
    <w:bookmarkEnd w:id="89"/>
    <w:p>
      <w:pPr>
        <w:jc w:val="both"/>
        <w:spacing w:after="0" w:line="273" w:lineRule="auto"/>
        <w:rPr>
          <w:sz w:val="20"/>
          <w:szCs w:val="20"/>
          <w:color w:val="auto"/>
        </w:rPr>
      </w:pPr>
      <w:r>
        <w:rPr>
          <w:rFonts w:ascii="Arial" w:cs="Arial" w:eastAsia="Arial" w:hAnsi="Arial"/>
          <w:sz w:val="18"/>
          <w:szCs w:val="18"/>
          <w:color w:val="auto"/>
        </w:rPr>
        <w:t xml:space="preserve">days after the Separation Date (or forty-five (45) days after the Separation Date, in the event of a group reduction-in-force), Executive must sign and return to Company, a release of claims in substantially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Release</w:t>
      </w:r>
      <w:r>
        <w:rPr>
          <w:rFonts w:ascii="Arial" w:cs="Arial" w:eastAsia="Arial" w:hAnsi="Arial"/>
          <w:sz w:val="18"/>
          <w:szCs w:val="18"/>
          <w:color w:val="auto"/>
        </w:rPr>
        <w:t>”) (as modified, if necessary, to comply with legal requirements in the event of a group reduction-in-force) and allow the Release to become fully-effective and non-revocable by its terms. The Cash Severance will be paid in the form of continuing installments on Company’s ordinary payroll schedule, beginning on the first payroll date following the effective date of such Release. The Full Target Bonus will be paid on the next date on which bonuses are regularly scheduled to be paid, which in no event will be later than March 15 of the year following the year in which the Separation Date occurs. In the event the Release is not fully effective as of the next date on which bonuses are regularly scheduled to be paid, the Full Target Bonus will be paid within ten (10) business days following the effective date of such Release.</w:t>
      </w:r>
    </w:p>
    <w:p>
      <w:pPr>
        <w:spacing w:after="0" w:line="163" w:lineRule="exact"/>
        <w:rPr>
          <w:sz w:val="20"/>
          <w:szCs w:val="20"/>
          <w:color w:val="auto"/>
        </w:rPr>
      </w:pPr>
    </w:p>
    <w:p>
      <w:pPr>
        <w:jc w:val="both"/>
        <w:ind w:firstLine="656"/>
        <w:spacing w:after="0" w:line="274" w:lineRule="auto"/>
        <w:tabs>
          <w:tab w:leader="none" w:pos="1072"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Due to Death or Disability. </w:t>
      </w:r>
      <w:r>
        <w:rPr>
          <w:rFonts w:ascii="Arial" w:cs="Arial" w:eastAsia="Arial" w:hAnsi="Arial"/>
          <w:sz w:val="18"/>
          <w:szCs w:val="18"/>
          <w:color w:val="auto"/>
        </w:rPr>
        <w:t>Subject to applicable state or federal law, Executive’s employment with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terminate upon Executive’s death or Disability. For purposes of this Agreement, “</w:t>
      </w:r>
      <w:r>
        <w:rPr>
          <w:rFonts w:ascii="Arial" w:cs="Arial" w:eastAsia="Arial" w:hAnsi="Arial"/>
          <w:sz w:val="18"/>
          <w:szCs w:val="18"/>
          <w:b w:val="1"/>
          <w:bCs w:val="1"/>
          <w:color w:val="auto"/>
        </w:rPr>
        <w:t>Disability</w:t>
      </w:r>
      <w:r>
        <w:rPr>
          <w:rFonts w:ascii="Arial" w:cs="Arial" w:eastAsia="Arial" w:hAnsi="Arial"/>
          <w:sz w:val="18"/>
          <w:szCs w:val="18"/>
          <w:color w:val="auto"/>
        </w:rPr>
        <w:t>” means a physical or mental condition or disability which prevents Executive from performing Executive’s job responsibilities for more than six (6) months in any twelve</w:t>
      </w:r>
    </w:p>
    <w:p>
      <w:pPr>
        <w:spacing w:after="0" w:line="1" w:lineRule="exact"/>
        <w:rPr>
          <w:rFonts w:ascii="Arial" w:cs="Arial" w:eastAsia="Arial" w:hAnsi="Arial"/>
          <w:sz w:val="18"/>
          <w:szCs w:val="18"/>
          <w:b w:val="1"/>
          <w:bCs w:val="1"/>
          <w:color w:val="auto"/>
        </w:rPr>
      </w:pPr>
    </w:p>
    <w:p>
      <w:pPr>
        <w:jc w:val="both"/>
        <w:ind w:firstLine="8"/>
        <w:spacing w:after="0" w:line="304" w:lineRule="auto"/>
        <w:tabs>
          <w:tab w:leader="none" w:pos="417"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month period, or for more than four (4) consecutive months. If Executive’s employment is terminated due to Executive’s death or Disability, in addition to any benefits under Company’s standard life and disability insurance policies, Executive (or Executive’s designated beneficiaries or estate) shall be eligible to receive the following severance benefits: (i) a lump sum payment equal to the amount of Executive’s Bonus Target for the fiscal year in which the Separation Date occurs, prorated based on the Separation Date and less applicable employment tax withholdings and deductions; (ii) accelerated vesting of Executive’s performance-based Equity Awards, prorated as set forth in the applicable Equity Award agreements (i.e., for any long-term performance share awards, a pro rata portion of those performance shares which have not completed their performance cycle, based on the portion of the performance cycle completed as of the Separation Date and based on the actual performance at the end of such performance cycle); (iii) monthly prorated accelerated vesting of Executive’s time-based Equity Awards; and (iv) the exercise period applicable to the Equity Awards will be extended until the later of (1) the first (1st) anniversary of the Separation Date; or (2)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sake of reference, all severance benefits provided in this entire subsection 8(g) are referred to collectively as the “</w:t>
      </w:r>
      <w:r>
        <w:rPr>
          <w:rFonts w:ascii="Arial" w:cs="Arial" w:eastAsia="Arial" w:hAnsi="Arial"/>
          <w:sz w:val="16"/>
          <w:szCs w:val="16"/>
          <w:b w:val="1"/>
          <w:bCs w:val="1"/>
          <w:color w:val="auto"/>
        </w:rPr>
        <w:t>Death or Disability Severance Benefits</w:t>
      </w:r>
      <w:r>
        <w:rPr>
          <w:rFonts w:ascii="Arial" w:cs="Arial" w:eastAsia="Arial" w:hAnsi="Arial"/>
          <w:sz w:val="16"/>
          <w:szCs w:val="16"/>
          <w:color w:val="auto"/>
        </w:rPr>
        <w:t>”). The Death and Disability Severance Benefits shall be paid subject to the same preconditions and on the same terms and conditions applicable to the Severance Benefits, as set forth in Section 8(f)(ii) (Preconditions).</w:t>
      </w:r>
    </w:p>
    <w:p>
      <w:pPr>
        <w:spacing w:after="0" w:line="379"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 BENEFITS.</w:t>
      </w:r>
    </w:p>
    <w:p>
      <w:pPr>
        <w:spacing w:after="0" w:line="215" w:lineRule="exact"/>
        <w:rPr>
          <w:rFonts w:ascii="Arial" w:cs="Arial" w:eastAsia="Arial" w:hAnsi="Arial"/>
          <w:sz w:val="20"/>
          <w:szCs w:val="20"/>
          <w:b w:val="1"/>
          <w:bCs w:val="1"/>
          <w:color w:val="auto"/>
        </w:rPr>
      </w:pPr>
    </w:p>
    <w:p>
      <w:pPr>
        <w:jc w:val="both"/>
        <w:ind w:firstLine="656"/>
        <w:spacing w:after="0" w:line="272" w:lineRule="auto"/>
        <w:tabs>
          <w:tab w:leader="none" w:pos="1099"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Termination. </w:t>
      </w:r>
      <w:r>
        <w:rPr>
          <w:rFonts w:ascii="Arial" w:cs="Arial" w:eastAsia="Arial" w:hAnsi="Arial"/>
          <w:sz w:val="18"/>
          <w:szCs w:val="18"/>
          <w:color w:val="auto"/>
        </w:rPr>
        <w:t>If Executive’s employment with Company is terminated by Company without Cause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Executive’s death or Disability) or Executive resigns for Good Reason, and such termination or resignation occurs within the period beginning three (3) months before and ending twelve (12) months after a Change in Control (defined below) (each a “</w:t>
      </w:r>
      <w:r>
        <w:rPr>
          <w:rFonts w:ascii="Arial" w:cs="Arial" w:eastAsia="Arial" w:hAnsi="Arial"/>
          <w:sz w:val="18"/>
          <w:szCs w:val="18"/>
          <w:b w:val="1"/>
          <w:bCs w:val="1"/>
          <w:color w:val="auto"/>
        </w:rPr>
        <w:t>CIC Termination</w:t>
      </w:r>
      <w:r>
        <w:rPr>
          <w:rFonts w:ascii="Arial" w:cs="Arial" w:eastAsia="Arial" w:hAnsi="Arial"/>
          <w:sz w:val="18"/>
          <w:szCs w:val="18"/>
          <w:color w:val="auto"/>
        </w:rPr>
        <w:t>”), Executive shall be eligible to receive the following enhanced severance package (in lieu of the Severance Benefits described above): (i) payment of thirty-six (36) months of Executive’s Base Salary as in effect immediately prior to the Separation Date, less applicable withholdings and deductions; (ii) a lump sum cash payment equal to the Full Target Bonus; (iii) accelerated vesting of Executive’s Equity Awards so that Executive becomes one hundred percent (100%) vested in all such Equity Awards, with the Equity Awards that vest based on performance being accelerated to the “target” level of achievement; and (iv) the exercise period applicable to the Equity Awards will be extended until the later of (1)the first (1st) anniversary of the Separation Date; or (2) the date provided in the applicable Equity Award agreement, but in no case longer than the expiration of the stated term of the Equity Award. Except for the foregoing accelerated vesting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6" w:right="239" w:bottom="1440" w:gutter="0" w:footer="0" w:header="0"/>
        </w:sectPr>
      </w:pPr>
    </w:p>
    <w:bookmarkStart w:id="90" w:name="page91"/>
    <w:bookmarkEnd w:id="90"/>
    <w:p>
      <w:pPr>
        <w:jc w:val="both"/>
        <w:spacing w:after="0" w:line="257" w:lineRule="auto"/>
        <w:rPr>
          <w:sz w:val="20"/>
          <w:szCs w:val="20"/>
          <w:color w:val="auto"/>
        </w:rPr>
      </w:pPr>
      <w:r>
        <w:rPr>
          <w:rFonts w:ascii="Arial" w:cs="Arial" w:eastAsia="Arial" w:hAnsi="Arial"/>
          <w:sz w:val="19"/>
          <w:szCs w:val="19"/>
          <w:color w:val="auto"/>
        </w:rPr>
        <w:t>extended exercise benefits, all existing terms and conditions applicable to the Equity Awards shall remain in full force and effect. In addition, provided Executive timely elects to continue Executive’s group health insurance coverage after the Separation Date pursuant to COBRA, and the terms of the governing health insurance policies, Company will reimburse all monthly COBRA health insurance premiums Executive pays to continue Executive’s health insurance coverage (including dependent coverage) for thirty-six (36) months after the Separation Date or until such earlier date as Executive either becomes eligible for group health insurance coverage through a new employer or Executive ceases to be eligible for COBRA coverage. (All severance benefits provided in this subsection 9(a) shall be referred to collectively as the “</w:t>
      </w:r>
      <w:r>
        <w:rPr>
          <w:rFonts w:ascii="Arial" w:cs="Arial" w:eastAsia="Arial" w:hAnsi="Arial"/>
          <w:sz w:val="19"/>
          <w:szCs w:val="19"/>
          <w:b w:val="1"/>
          <w:bCs w:val="1"/>
          <w:color w:val="auto"/>
        </w:rPr>
        <w:t>CIC Severance</w:t>
      </w:r>
      <w:r>
        <w:rPr>
          <w:rFonts w:ascii="Arial" w:cs="Arial" w:eastAsia="Arial" w:hAnsi="Arial"/>
          <w:sz w:val="19"/>
          <w:szCs w:val="19"/>
          <w:color w:val="auto"/>
        </w:rPr>
        <w:t xml:space="preserve"> </w:t>
      </w:r>
      <w:r>
        <w:rPr>
          <w:rFonts w:ascii="Arial" w:cs="Arial" w:eastAsia="Arial" w:hAnsi="Arial"/>
          <w:sz w:val="19"/>
          <w:szCs w:val="19"/>
          <w:b w:val="1"/>
          <w:bCs w:val="1"/>
          <w:color w:val="auto"/>
        </w:rPr>
        <w:t>Benefits.</w:t>
      </w:r>
      <w:r>
        <w:rPr>
          <w:rFonts w:ascii="Arial" w:cs="Arial" w:eastAsia="Arial" w:hAnsi="Arial"/>
          <w:sz w:val="19"/>
          <w:szCs w:val="19"/>
          <w:color w:val="auto"/>
        </w:rPr>
        <w:t>”) The CIC Severance Benefits shall be paid subject to the same preconditions and on the same terms and conditions applicable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Severance Benefits, as set forth in Section 8(f)(ii) (Preconditions).</w:t>
      </w:r>
    </w:p>
    <w:p>
      <w:pPr>
        <w:spacing w:after="0" w:line="175" w:lineRule="exact"/>
        <w:rPr>
          <w:sz w:val="20"/>
          <w:szCs w:val="20"/>
          <w:color w:val="auto"/>
        </w:rPr>
      </w:pPr>
    </w:p>
    <w:p>
      <w:pPr>
        <w:jc w:val="both"/>
        <w:ind w:firstLine="656"/>
        <w:spacing w:after="0" w:line="270" w:lineRule="auto"/>
        <w:tabs>
          <w:tab w:leader="none" w:pos="1138"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 of Change in Control. </w:t>
      </w: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(i) the acquisition by any individual, entity or group (a “</w:t>
      </w:r>
      <w:r>
        <w:rPr>
          <w:rFonts w:ascii="Arial" w:cs="Arial" w:eastAsia="Arial" w:hAnsi="Arial"/>
          <w:sz w:val="18"/>
          <w:szCs w:val="18"/>
          <w:b w:val="1"/>
          <w:bCs w:val="1"/>
          <w:color w:val="auto"/>
        </w:rPr>
        <w:t>Person”</w:t>
      </w:r>
      <w:r>
        <w:rPr>
          <w:rFonts w:ascii="Arial" w:cs="Arial" w:eastAsia="Arial" w:hAnsi="Arial"/>
          <w:sz w:val="18"/>
          <w:szCs w:val="18"/>
          <w:color w:val="auto"/>
        </w:rPr>
        <w:t>), within the meaning of Section 13(d)(3) or 14(d)(2) of the Securities and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of beneficial ownership (within the meaning of Rule 13d-3 promulgated under the Exchange Act) of 50% or more of the combined voting power of the then outstanding securities of Company entitled to vote generally in the election of directors (“</w:t>
      </w:r>
      <w:r>
        <w:rPr>
          <w:rFonts w:ascii="Arial" w:cs="Arial" w:eastAsia="Arial" w:hAnsi="Arial"/>
          <w:sz w:val="18"/>
          <w:szCs w:val="18"/>
          <w:b w:val="1"/>
          <w:bCs w:val="1"/>
          <w:color w:val="auto"/>
        </w:rPr>
        <w:t>Voting Stock</w:t>
      </w:r>
      <w:r>
        <w:rPr>
          <w:rFonts w:ascii="Arial" w:cs="Arial" w:eastAsia="Arial" w:hAnsi="Arial"/>
          <w:sz w:val="18"/>
          <w:szCs w:val="18"/>
          <w:color w:val="auto"/>
        </w:rPr>
        <w:t>”); or (ii) consummation of a reorganization, merger or consolidation, a sale or other disposition of all or substantially all of the assets of Company, or other transaction ( each, a “</w:t>
      </w:r>
      <w:r>
        <w:rPr>
          <w:rFonts w:ascii="Arial" w:cs="Arial" w:eastAsia="Arial" w:hAnsi="Arial"/>
          <w:sz w:val="18"/>
          <w:szCs w:val="18"/>
          <w:b w:val="1"/>
          <w:bCs w:val="1"/>
          <w:color w:val="auto"/>
        </w:rPr>
        <w:t>Business Combination</w:t>
      </w:r>
      <w:r>
        <w:rPr>
          <w:rFonts w:ascii="Arial" w:cs="Arial" w:eastAsia="Arial" w:hAnsi="Arial"/>
          <w:sz w:val="18"/>
          <w:szCs w:val="18"/>
          <w:color w:val="auto"/>
        </w:rPr>
        <w:t>”), unless, in each case, immediately following such Business Combination, (A) all or substantially all of the individuals and entities who were the beneficial owners of Voting Stock of Company immediately prior to such Business Combination beneficially own, directly or indirectly, more than 50% of the combined voting power of the then outstanding shares of Voting Stock of the entity resulting from such Business Combination (including, without limitation, an entity which as a result of such transaction owns Company or all or substantially all of Company's assets either directly or through one or more subsidiaries) in substantially the same proportions relative to each other as their ownership, immediately prior to such Business Combination, of the Voting Stock of Company; and (B) no Person beneficially owns, directly or indirectly, 50% or more of the combined voting power of the then outstanding shares of Voting Stock of the entity resulting from such Business Combination.</w:t>
      </w:r>
    </w:p>
    <w:p>
      <w:pPr>
        <w:spacing w:after="0" w:line="173" w:lineRule="exact"/>
        <w:rPr>
          <w:rFonts w:ascii="Arial" w:cs="Arial" w:eastAsia="Arial" w:hAnsi="Arial"/>
          <w:sz w:val="18"/>
          <w:szCs w:val="18"/>
          <w:b w:val="1"/>
          <w:bCs w:val="1"/>
          <w:color w:val="auto"/>
        </w:rPr>
      </w:pPr>
    </w:p>
    <w:p>
      <w:pPr>
        <w:jc w:val="both"/>
        <w:ind w:firstLine="656"/>
        <w:spacing w:after="0" w:line="248" w:lineRule="auto"/>
        <w:tabs>
          <w:tab w:leader="none" w:pos="1075" w:val="left"/>
        </w:tabs>
        <w:numPr>
          <w:ilvl w:val="1"/>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Prior CIC Agreement. </w:t>
      </w:r>
      <w:r>
        <w:rPr>
          <w:rFonts w:ascii="Arial" w:cs="Arial" w:eastAsia="Arial" w:hAnsi="Arial"/>
          <w:sz w:val="20"/>
          <w:szCs w:val="20"/>
          <w:color w:val="auto"/>
        </w:rPr>
        <w:t>The Parties hereby acknowledge and agree that: (i) this Agreement supersedes in its entirety the June 8,</w:t>
      </w:r>
      <w:r>
        <w:rPr>
          <w:rFonts w:ascii="Arial" w:cs="Arial" w:eastAsia="Arial" w:hAnsi="Arial"/>
          <w:sz w:val="20"/>
          <w:szCs w:val="20"/>
          <w:b w:val="1"/>
          <w:bCs w:val="1"/>
          <w:color w:val="auto"/>
        </w:rPr>
        <w:t xml:space="preserve"> </w:t>
      </w:r>
      <w:r>
        <w:rPr>
          <w:rFonts w:ascii="Arial" w:cs="Arial" w:eastAsia="Arial" w:hAnsi="Arial"/>
          <w:sz w:val="20"/>
          <w:szCs w:val="20"/>
          <w:color w:val="auto"/>
        </w:rPr>
        <w:t>2007 Change in Control Agreement between Executive and Company (the “</w:t>
      </w:r>
      <w:r>
        <w:rPr>
          <w:rFonts w:ascii="Arial" w:cs="Arial" w:eastAsia="Arial" w:hAnsi="Arial"/>
          <w:sz w:val="20"/>
          <w:szCs w:val="20"/>
          <w:b w:val="1"/>
          <w:bCs w:val="1"/>
          <w:color w:val="auto"/>
        </w:rPr>
        <w:t>Prior CIC Agreement</w:t>
      </w:r>
      <w:r>
        <w:rPr>
          <w:rFonts w:ascii="Arial" w:cs="Arial" w:eastAsia="Arial" w:hAnsi="Arial"/>
          <w:sz w:val="20"/>
          <w:szCs w:val="20"/>
          <w:color w:val="auto"/>
        </w:rPr>
        <w:t>”), such that the Parties’ rights and obligations under that Prior CIC Agreement are null and void as of the Effective Date; and (ii) the CIC Benefits are the sole benefits to which Executive shall be entitled in the event of a CIC Termination.</w:t>
      </w:r>
    </w:p>
    <w:p>
      <w:pPr>
        <w:spacing w:after="0" w:line="183" w:lineRule="exact"/>
        <w:rPr>
          <w:rFonts w:ascii="Arial" w:cs="Arial" w:eastAsia="Arial" w:hAnsi="Arial"/>
          <w:sz w:val="20"/>
          <w:szCs w:val="20"/>
          <w:b w:val="1"/>
          <w:bCs w:val="1"/>
          <w:color w:val="auto"/>
        </w:rPr>
      </w:pPr>
    </w:p>
    <w:p>
      <w:pPr>
        <w:jc w:val="both"/>
        <w:ind w:firstLine="8"/>
        <w:spacing w:after="0" w:line="280" w:lineRule="auto"/>
        <w:tabs>
          <w:tab w:leader="none" w:pos="52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SECTION 409A COMPLIANCE. </w:t>
      </w:r>
      <w:r>
        <w:rPr>
          <w:rFonts w:ascii="Arial" w:cs="Arial" w:eastAsia="Arial" w:hAnsi="Arial"/>
          <w:sz w:val="18"/>
          <w:szCs w:val="18"/>
          <w:color w:val="auto"/>
        </w:rPr>
        <w:t>Notwithstanding anything set forth in this Agreement to the contrary, any payments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provided pursuant to this Agreement which constitute “deferred compensation” within the meaning of the Treasury Regulations issued pursuant to Section 409A of the Internal Revenue Code (the “</w:t>
      </w:r>
      <w:r>
        <w:rPr>
          <w:rFonts w:ascii="Arial" w:cs="Arial" w:eastAsia="Arial" w:hAnsi="Arial"/>
          <w:sz w:val="18"/>
          <w:szCs w:val="18"/>
          <w:b w:val="1"/>
          <w:bCs w:val="1"/>
          <w:color w:val="auto"/>
        </w:rPr>
        <w:t>Code</w:t>
      </w:r>
      <w:r>
        <w:rPr>
          <w:rFonts w:ascii="Arial" w:cs="Arial" w:eastAsia="Arial" w:hAnsi="Arial"/>
          <w:sz w:val="18"/>
          <w:szCs w:val="18"/>
          <w:color w:val="auto"/>
        </w:rPr>
        <w:t>”) shall not commence until Executive has incurred a “separation from service” (as such term is defined in the Treasury Regulation Section 1.409A-1(h) (“</w:t>
      </w:r>
      <w:r>
        <w:rPr>
          <w:rFonts w:ascii="Arial" w:cs="Arial" w:eastAsia="Arial" w:hAnsi="Arial"/>
          <w:sz w:val="18"/>
          <w:szCs w:val="18"/>
          <w:b w:val="1"/>
          <w:bCs w:val="1"/>
          <w:color w:val="auto"/>
        </w:rPr>
        <w:t>Separation From Service</w:t>
      </w:r>
      <w:r>
        <w:rPr>
          <w:rFonts w:ascii="Arial" w:cs="Arial" w:eastAsia="Arial" w:hAnsi="Arial"/>
          <w:sz w:val="18"/>
          <w:szCs w:val="18"/>
          <w:color w:val="auto"/>
        </w:rPr>
        <w:t>”), unless Company reasonably determines that such amounts may be provided to Executive without causing Executive to incur the additional 20% tax under Section 409A.</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avoidance of doubt, it is intended that the payments and benefits set forth in this Agreement satisfy, to the greatest extent possible, the exemptions from the application of Section 409A provided under Treasury Regulation Sections 1.409A-1(b)(4), 1.409A-1(b)(5) and 1.409A-1(b)(9) and this Agreement will be construed to the greatest extent possible as consistent with those provisions. To the extent not so exempt, this Agreement (and any definitions hereunder) will be construed in a manner that complies with Section 409A and incorporates by reference all required definitions and payment terms. For purposes of Section 409A (including, without limitation, for purposes of Treasury Regulation Section 1.409A 2(b)(2)(iii)), Executive’s right to receive any installment payments under this Agreement (whether severance payments,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6" w:right="239" w:bottom="1440" w:gutter="0" w:footer="0" w:header="0"/>
        </w:sectPr>
      </w:pPr>
    </w:p>
    <w:bookmarkStart w:id="91" w:name="page92"/>
    <w:bookmarkEnd w:id="91"/>
    <w:p>
      <w:pPr>
        <w:jc w:val="both"/>
        <w:spacing w:after="0" w:line="270" w:lineRule="auto"/>
        <w:rPr>
          <w:sz w:val="20"/>
          <w:szCs w:val="20"/>
          <w:color w:val="auto"/>
        </w:rPr>
      </w:pPr>
      <w:r>
        <w:rPr>
          <w:rFonts w:ascii="Arial" w:cs="Arial" w:eastAsia="Arial" w:hAnsi="Arial"/>
          <w:sz w:val="18"/>
          <w:szCs w:val="18"/>
          <w:color w:val="auto"/>
        </w:rPr>
        <w:t>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Company (or, if applicable, the successor entity thereto) determines that any payments upon Executive’s Separation From Service set forth herein and/or under any other agreement with Company constitute “deferred compensation” under Section 409A and Executive is, on Executive’s Separation From Service, a “specified employee” of Company or any successor entity thereto, as such term is defined in Section 409A(a)(2)(B)(i) of the Code, then, solely, to the extent necessary to avoid the incurrence of the adverse personal tax consequences under Section 409A, the timing of the payments upon Executive’s Separation From Service shall be delayed until the earlier to occur of: (a) the date that is six months and one day after Executive’s Separation From Service or (b) the date of Executive’s death (such applicable date, the “</w:t>
      </w:r>
      <w:r>
        <w:rPr>
          <w:rFonts w:ascii="Arial" w:cs="Arial" w:eastAsia="Arial" w:hAnsi="Arial"/>
          <w:sz w:val="18"/>
          <w:szCs w:val="18"/>
          <w:b w:val="1"/>
          <w:bCs w:val="1"/>
          <w:color w:val="auto"/>
        </w:rPr>
        <w:t>Specified Employee Initial Payment Date</w:t>
      </w:r>
      <w:r>
        <w:rPr>
          <w:rFonts w:ascii="Arial" w:cs="Arial" w:eastAsia="Arial" w:hAnsi="Arial"/>
          <w:sz w:val="18"/>
          <w:szCs w:val="18"/>
          <w:color w:val="auto"/>
        </w:rPr>
        <w:t>”). On the Specified Employee Initial Payment Date, Company (or the successor entity thereto, as applicable) shall (A) pay to Executive a lump sum amount equal to the sum of the payments upon Executive’s Separation From Service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None of the severance benefits under this Agreement will commence or otherwise be delivered prior to the effective date of the Release. Except to the minimum extent that payments must be delayed because Executive is a “specified employee” (as described above) or until the effectiveness of the Release, all amounts will be paid as soon as practicable in accordance with Company’s normal payroll practices and no interest will be due on any amounts so deferred.</w:t>
      </w:r>
    </w:p>
    <w:p>
      <w:pPr>
        <w:spacing w:after="0" w:line="186" w:lineRule="exact"/>
        <w:rPr>
          <w:sz w:val="20"/>
          <w:szCs w:val="20"/>
          <w:color w:val="auto"/>
        </w:rPr>
      </w:pPr>
    </w:p>
    <w:p>
      <w:pPr>
        <w:jc w:val="both"/>
        <w:ind w:firstLine="8"/>
        <w:spacing w:after="0" w:line="255" w:lineRule="auto"/>
        <w:tabs>
          <w:tab w:leader="none" w:pos="497"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BETTER AFTER TAX PROVISION. </w:t>
      </w:r>
      <w:r>
        <w:rPr>
          <w:rFonts w:ascii="Arial" w:cs="Arial" w:eastAsia="Arial" w:hAnsi="Arial"/>
          <w:sz w:val="19"/>
          <w:szCs w:val="19"/>
          <w:color w:val="auto"/>
        </w:rPr>
        <w:t>If any payment or benefit that Executive will or may receive from Company or otherwise (a</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280G 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any such 280G Payment will be equal to the Reduced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will be either (x) the largest portion of the 280G Payment that would result in no portion of the 280G Payment (after reduction) being subject to the Excise Tax, or (y) the largest portion, up to and including the total, of the 280G Payment, whichever amount (</w:t>
      </w:r>
      <w:r>
        <w:rPr>
          <w:rFonts w:ascii="Arial" w:cs="Arial" w:eastAsia="Arial" w:hAnsi="Arial"/>
          <w:sz w:val="19"/>
          <w:szCs w:val="19"/>
          <w:i w:val="1"/>
          <w:iCs w:val="1"/>
          <w:color w:val="auto"/>
        </w:rPr>
        <w:t>i.e</w:t>
      </w:r>
      <w:r>
        <w:rPr>
          <w:rFonts w:ascii="Arial" w:cs="Arial" w:eastAsia="Arial" w:hAnsi="Arial"/>
          <w:sz w:val="19"/>
          <w:szCs w:val="19"/>
          <w:color w:val="auto"/>
        </w:rPr>
        <w:t>.,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280G Payment may be subject to the Excise Tax. If a reduction in a 280G Payment is required pursuant to the preceding sentence and the Reduced Amount is determined pursuant to clause (x) of the preceding sentence, the reduction will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b w:val="1"/>
          <w:bCs w:val="1"/>
          <w:color w:val="auto"/>
        </w:rPr>
        <w:t>Pro Rata Reduction Method</w:t>
      </w:r>
      <w:r>
        <w:rPr>
          <w:rFonts w:ascii="Arial" w:cs="Arial" w:eastAsia="Arial" w:hAnsi="Arial"/>
          <w:sz w:val="19"/>
          <w:szCs w:val="19"/>
          <w:color w:val="auto"/>
        </w:rPr>
        <w:t>”).</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Notwithstanding the foregoing, if the Reduction Method or the Pro Rata Reduction Method would result in any portion of the 280G Payment being subject to taxes pursuant to Section 409A of the Code that would not otherwise be subject to taxes pursuant to Section 409A of the Code, then the Reduction Method and/or the Pro Rata Reduction Method, as the case may be, will be modified so as to avoid the imposition of taxes pursuant to Section 409A of the Code as follows: (A) as a first priority, the modification will preserve to the greatest extent possible, the greatest economic benefit for Executive as determined on an after-tax basis; (B) as a second priority, 280G Payments that are contingent on future events (</w:t>
      </w:r>
      <w:r>
        <w:rPr>
          <w:rFonts w:ascii="Arial" w:cs="Arial" w:eastAsia="Arial" w:hAnsi="Arial"/>
          <w:sz w:val="18"/>
          <w:szCs w:val="18"/>
          <w:i w:val="1"/>
          <w:iCs w:val="1"/>
          <w:color w:val="auto"/>
        </w:rPr>
        <w:t>e.g</w:t>
      </w:r>
      <w:r>
        <w:rPr>
          <w:rFonts w:ascii="Arial" w:cs="Arial" w:eastAsia="Arial" w:hAnsi="Arial"/>
          <w:sz w:val="18"/>
          <w:szCs w:val="18"/>
          <w:color w:val="auto"/>
        </w:rPr>
        <w:t>., being terminated without Cause), will be reduced (or eliminated) before 280G Payments that are not contingent on future events; and (C) as a third priority, 280G Payments that are “deferred compensation” within the meaning of Section 409A of the Code will be reduced (or eliminated) before 280G Payments that are not “deferred compensation” within the meaning of Section 409A of the Code.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6" w:right="239" w:bottom="1440" w:gutter="0" w:footer="0" w:header="0"/>
        </w:sectPr>
      </w:pPr>
    </w:p>
    <w:bookmarkStart w:id="92" w:name="page93"/>
    <w:bookmarkEnd w:id="92"/>
    <w:p>
      <w:pPr>
        <w:jc w:val="both"/>
        <w:spacing w:after="0" w:line="260" w:lineRule="auto"/>
        <w:rPr>
          <w:sz w:val="20"/>
          <w:szCs w:val="20"/>
          <w:color w:val="auto"/>
        </w:rPr>
      </w:pPr>
      <w:r>
        <w:rPr>
          <w:rFonts w:ascii="Arial" w:cs="Arial" w:eastAsia="Arial" w:hAnsi="Arial"/>
          <w:sz w:val="20"/>
          <w:szCs w:val="20"/>
          <w:color w:val="auto"/>
        </w:rPr>
        <w:t>If Section 280G of the Code is not applicable by law to Executive, Company will determine whether any similar law in Executive’s jurisdiction applies and should be taken into account.</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independent professional firm engaged by Company for general tax audit purposes as of the day prior to the effective date of the Change in Control will make all determinations required to be made under this Section. If the firm so engaged by Company is serving as accountant or auditor for the individual, entity or group effecting the Change in Control, Company will appoint a nationally recognized independent professional firm to make the determinations required hereunder. Company will bear all expenses with respect to the determinations by such firm required to be made hereunder. Company will use commercially reasonable efforts to cause the firm engaged to make the determinations hereunder to provide its calculations, together with detailed supporting documentation, to Company and Executive within thirty (30) calendar days after the date on which Executive’s right to a 280G Payment becomes reasonably likely to occur (if requested at that time by Company or Executive) or such other time as requested by Company or Executive.</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Executive receives a 280G Payment for which the Reduced Amount was determined pursuant to clause (x) of the first paragraph of this Section and the Internal Revenue Service determines thereafter that some portion of the 280G Payment is subject to the Excise Tax, Executive will promptly return to Company a sufficient amount of the 280G Payment (after reduction pursuant to clause (x) of the first paragraph of this Section) so that no portion of the remaining 280G Payment is subject to the Excise Tax. For the avoidance of doubt, if the Reduced Amount was determined pursuant to clause (y) of the first paragraph of this Section, Executive will have no obligation to return any portion of the 280G Payment pursuant to the preceding sentence.</w:t>
      </w:r>
    </w:p>
    <w:p>
      <w:pPr>
        <w:spacing w:after="0" w:line="190" w:lineRule="exact"/>
        <w:rPr>
          <w:sz w:val="20"/>
          <w:szCs w:val="20"/>
          <w:color w:val="auto"/>
        </w:rPr>
      </w:pPr>
    </w:p>
    <w:p>
      <w:pPr>
        <w:ind w:left="440" w:hanging="432"/>
        <w:spacing w:after="0"/>
        <w:tabs>
          <w:tab w:leader="none" w:pos="44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5" w:lineRule="exact"/>
        <w:rPr>
          <w:rFonts w:ascii="Arial" w:cs="Arial" w:eastAsia="Arial" w:hAnsi="Arial"/>
          <w:sz w:val="20"/>
          <w:szCs w:val="20"/>
          <w:b w:val="1"/>
          <w:bCs w:val="1"/>
          <w:color w:val="auto"/>
        </w:rPr>
      </w:pPr>
    </w:p>
    <w:p>
      <w:pPr>
        <w:jc w:val="both"/>
        <w:ind w:firstLine="656"/>
        <w:spacing w:after="0" w:line="273" w:lineRule="auto"/>
        <w:tabs>
          <w:tab w:leader="none" w:pos="1126"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Executive shall be responsible for the payment of any taxes due on any and all compensation, stock option, or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Company pursuant to this Agreement which are not withheld by Company. Executive agrees to indemnify and hold harmless Company from any and all claims or penalties asserted against Company arising from Executive’s failure to pay taxes due on any compensation, stock option, or benefit provided by Company pursuant to this Agreement. Executive expressly acknowledges that Company has not made any representation about the tax consequences of any consideration, including any extended exercise period, provided by Company to Executive pursuant to this Agreement; and that Company has advised Executive to seek independent tax advice with respect to any tax matters related to this Agreement. Executive understands and acknowledges that, pursuant to the tax rules governing incentive stock options, any extension of the exercise period applicable to incentive stock options held by Executive may immediately cause such options to cease to qualify as incentive stock options and by executing this Agreement, Executive agrees to such treatment.</w:t>
      </w:r>
    </w:p>
    <w:p>
      <w:pPr>
        <w:spacing w:after="0" w:line="163" w:lineRule="exact"/>
        <w:rPr>
          <w:rFonts w:ascii="Arial" w:cs="Arial" w:eastAsia="Arial" w:hAnsi="Arial"/>
          <w:sz w:val="18"/>
          <w:szCs w:val="18"/>
          <w:b w:val="1"/>
          <w:bCs w:val="1"/>
          <w:color w:val="auto"/>
        </w:rPr>
      </w:pPr>
    </w:p>
    <w:p>
      <w:pPr>
        <w:jc w:val="both"/>
        <w:ind w:firstLine="656"/>
        <w:spacing w:after="0" w:line="262" w:lineRule="auto"/>
        <w:tabs>
          <w:tab w:leader="none" w:pos="1084" w:val="left"/>
        </w:tabs>
        <w:numPr>
          <w:ilvl w:val="1"/>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Modification/Waiver. </w:t>
      </w:r>
      <w:r>
        <w:rPr>
          <w:rFonts w:ascii="Arial" w:cs="Arial" w:eastAsia="Arial" w:hAnsi="Arial"/>
          <w:sz w:val="19"/>
          <w:szCs w:val="19"/>
          <w:color w:val="auto"/>
        </w:rPr>
        <w:t>This Agreement may not be amended, modified, superseded, canceled, renewed or extended, or any terms</w:t>
      </w:r>
      <w:r>
        <w:rPr>
          <w:rFonts w:ascii="Arial" w:cs="Arial" w:eastAsia="Arial" w:hAnsi="Arial"/>
          <w:sz w:val="19"/>
          <w:szCs w:val="19"/>
          <w:b w:val="1"/>
          <w:bCs w:val="1"/>
          <w:color w:val="auto"/>
        </w:rPr>
        <w:t xml:space="preserve"> </w:t>
      </w:r>
      <w:r>
        <w:rPr>
          <w:rFonts w:ascii="Arial" w:cs="Arial" w:eastAsia="Arial" w:hAnsi="Arial"/>
          <w:sz w:val="19"/>
          <w:szCs w:val="19"/>
          <w:color w:val="auto"/>
        </w:rPr>
        <w:t>or covenants hereof waived, except by a writing executed by Executive and for Company by a duly authorized Board member; or, in the case of a waiver, by the Party waiving compliance. Failure of any Party at any time to require performance of any provision hereof shall not affect the Party’s right at a later time to enforce such provision. No waiver by a Party of a breach of this Agreement shall be deemed to be a waiver of any other breach of any term or condition contained in the Agreement.</w:t>
      </w:r>
    </w:p>
    <w:p>
      <w:pPr>
        <w:spacing w:after="0" w:line="171" w:lineRule="exact"/>
        <w:rPr>
          <w:rFonts w:ascii="Arial" w:cs="Arial" w:eastAsia="Arial" w:hAnsi="Arial"/>
          <w:sz w:val="19"/>
          <w:szCs w:val="19"/>
          <w:b w:val="1"/>
          <w:bCs w:val="1"/>
          <w:color w:val="auto"/>
        </w:rPr>
      </w:pPr>
    </w:p>
    <w:p>
      <w:pPr>
        <w:jc w:val="both"/>
        <w:ind w:firstLine="656"/>
        <w:spacing w:after="0" w:line="253" w:lineRule="auto"/>
        <w:tabs>
          <w:tab w:leader="none" w:pos="1088" w:val="left"/>
        </w:tabs>
        <w:numPr>
          <w:ilvl w:val="1"/>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Successors and Assigns. </w:t>
      </w:r>
      <w:r>
        <w:rPr>
          <w:rFonts w:ascii="Arial" w:cs="Arial" w:eastAsia="Arial" w:hAnsi="Arial"/>
          <w:sz w:val="20"/>
          <w:szCs w:val="20"/>
          <w:color w:val="auto"/>
        </w:rPr>
        <w:t>This Agreement may be assigned by Company to an affiliated entity of the Company with or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consent. This Agreement shall be assigned by the Company to any successor of the Company. This Agreement shall not be assignable by Executive.</w:t>
      </w:r>
    </w:p>
    <w:p>
      <w:pPr>
        <w:spacing w:after="0" w:line="177" w:lineRule="exact"/>
        <w:rPr>
          <w:rFonts w:ascii="Arial" w:cs="Arial" w:eastAsia="Arial" w:hAnsi="Arial"/>
          <w:sz w:val="20"/>
          <w:szCs w:val="20"/>
          <w:b w:val="1"/>
          <w:bCs w:val="1"/>
          <w:color w:val="auto"/>
        </w:rPr>
      </w:pPr>
    </w:p>
    <w:p>
      <w:pPr>
        <w:ind w:firstLine="656"/>
        <w:spacing w:after="0" w:line="267" w:lineRule="auto"/>
        <w:tabs>
          <w:tab w:leader="none" w:pos="1070" w:val="left"/>
        </w:tabs>
        <w:numPr>
          <w:ilvl w:val="1"/>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to be given hereunder shall be in writing and shall be deemed to have been duly given on: the date personally</w:t>
      </w:r>
      <w:r>
        <w:rPr>
          <w:rFonts w:ascii="Arial" w:cs="Arial" w:eastAsia="Arial" w:hAnsi="Arial"/>
          <w:sz w:val="20"/>
          <w:szCs w:val="20"/>
          <w:b w:val="1"/>
          <w:bCs w:val="1"/>
          <w:color w:val="auto"/>
        </w:rPr>
        <w:t xml:space="preserve"> </w:t>
      </w:r>
      <w:r>
        <w:rPr>
          <w:rFonts w:ascii="Arial" w:cs="Arial" w:eastAsia="Arial" w:hAnsi="Arial"/>
          <w:sz w:val="20"/>
          <w:szCs w:val="20"/>
          <w:color w:val="auto"/>
        </w:rPr>
        <w:t>or hand delivered; one (1) day after being sent by internationally-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6" w:right="239" w:bottom="1440" w:gutter="0" w:footer="0" w:header="0"/>
        </w:sectPr>
      </w:pPr>
    </w:p>
    <w:bookmarkStart w:id="93" w:name="page94"/>
    <w:bookmarkEnd w:id="93"/>
    <w:p>
      <w:pPr>
        <w:jc w:val="both"/>
        <w:spacing w:after="0" w:line="246" w:lineRule="auto"/>
        <w:rPr>
          <w:sz w:val="20"/>
          <w:szCs w:val="20"/>
          <w:color w:val="auto"/>
        </w:rPr>
      </w:pPr>
      <w:r>
        <w:rPr>
          <w:rFonts w:ascii="Arial" w:cs="Arial" w:eastAsia="Arial" w:hAnsi="Arial"/>
          <w:sz w:val="20"/>
          <w:szCs w:val="20"/>
          <w:color w:val="auto"/>
        </w:rPr>
        <w:t>recognized overnight delivery courier; and three (3) days after being sent by certified mail, return receipt requested. Notices mailed to Executive shall be sent to Executive’s last home address as reflected in Company’s personnel records. Executive shall promptly notify Company of any change in Executive’s address. Notices to Company shall be directed to the Chair of the Board and shall be mailed to Company’s headquarters.</w:t>
      </w:r>
    </w:p>
    <w:p>
      <w:pPr>
        <w:spacing w:after="0" w:line="186" w:lineRule="exact"/>
        <w:rPr>
          <w:sz w:val="20"/>
          <w:szCs w:val="20"/>
          <w:color w:val="auto"/>
        </w:rPr>
      </w:pPr>
    </w:p>
    <w:p>
      <w:pPr>
        <w:jc w:val="both"/>
        <w:ind w:firstLine="656"/>
        <w:spacing w:after="0" w:line="269" w:lineRule="auto"/>
        <w:tabs>
          <w:tab w:leader="none" w:pos="1183"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To aid in the rapid and economical resolution of any disputes that may arise between Executive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the Parties agree that any and all disputes, claims, or demands arising from or relating to this Agreement (including but not limited to the Confidential Information Agreement incorporated by reference herein), Executive’s employment relationship with Company, or the termination of that relationship (including statutory claims), shall be resolved, to the fullest extent permitted by law, by final, binding and confidential arbitration in San Francisco, California conducted by JAMS, Inc. (“JAMS”) or its successor, before a single neutral arbitrator, under the then applicable JAMS Arbitration Rules and Procedures for Employment Disputes (available at http://www.jamsadr.com/rules-employment-arbitration/) and subject to JAMS’ Policy on Employment Arbitration Minimum Standards of Procedural Fairness. </w:t>
      </w:r>
      <w:r>
        <w:rPr>
          <w:rFonts w:ascii="Arial" w:cs="Arial" w:eastAsia="Arial" w:hAnsi="Arial"/>
          <w:sz w:val="18"/>
          <w:szCs w:val="18"/>
          <w:b w:val="1"/>
          <w:bCs w:val="1"/>
          <w:color w:val="auto"/>
        </w:rPr>
        <w:t>The Parties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acknowledge that by agreeing to this arbitration procedure, they waive the right to resolve any such dispute, claim or demand through a trial by jury or judge or by administrative proceeding. </w:t>
      </w:r>
      <w:r>
        <w:rPr>
          <w:rFonts w:ascii="Arial" w:cs="Arial" w:eastAsia="Arial" w:hAnsi="Arial"/>
          <w:sz w:val="18"/>
          <w:szCs w:val="18"/>
          <w:color w:val="auto"/>
        </w:rPr>
        <w:t>The arbitrator shall: (a) have authority to compel adequate discovery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dispute and to award such relief as would otherwise be available under applicable law in a court proceeding; (b) issue a written statement signed by the arbitrator regarding the disposition of each claim and the relief, if any, awarded as to each claim, the reasons for the award, and the arbitrator’s essential findings and conclusions on which the award is based; and (c) have authority to decide questions regarding the enforceability, interpretation, scope, applicability, or coverage of this Agreement (including whether an issue is subject to arbitration under this Agreement). Company shall pay all JAMS’ arbitration fees. Executive will have the right to be represented by legal counsel at any arbitration proceeding, at Executive’s expense. The arbitrator may award reasonable attorney’s fees, costs, and expenses to the prevailing party in any arbitration (as reasonably determined by the arbitrator), in addition to any other relief to which the prevailing party may be entitled. Nothing in this Agreement is intended to prevent either Party from obtaining injunctive relief in a court of applicable jurisdiction to prevent irreparable harm pending the conclusion of any arbitration; or from enforcing any arbitration award in a court of applicable jurisdiction.</w:t>
      </w:r>
    </w:p>
    <w:p>
      <w:pPr>
        <w:spacing w:after="0" w:line="172" w:lineRule="exact"/>
        <w:rPr>
          <w:rFonts w:ascii="Arial" w:cs="Arial" w:eastAsia="Arial" w:hAnsi="Arial"/>
          <w:sz w:val="18"/>
          <w:szCs w:val="18"/>
          <w:b w:val="1"/>
          <w:bCs w:val="1"/>
          <w:color w:val="auto"/>
        </w:rPr>
      </w:pPr>
    </w:p>
    <w:p>
      <w:pPr>
        <w:jc w:val="both"/>
        <w:ind w:firstLine="656"/>
        <w:spacing w:after="0" w:line="260" w:lineRule="auto"/>
        <w:tabs>
          <w:tab w:leader="none" w:pos="1067"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w:t>
      </w:r>
      <w:r>
        <w:rPr>
          <w:rFonts w:ascii="Arial" w:cs="Arial" w:eastAsia="Arial" w:hAnsi="Arial"/>
          <w:sz w:val="19"/>
          <w:szCs w:val="19"/>
          <w:color w:val="auto"/>
        </w:rPr>
        <w:t>. In addition to any rights to indemnification to which Executive may be entitled under Company’s Charter and</w:t>
      </w:r>
      <w:r>
        <w:rPr>
          <w:rFonts w:ascii="Arial" w:cs="Arial" w:eastAsia="Arial" w:hAnsi="Arial"/>
          <w:sz w:val="19"/>
          <w:szCs w:val="19"/>
          <w:b w:val="1"/>
          <w:bCs w:val="1"/>
          <w:color w:val="auto"/>
        </w:rPr>
        <w:t xml:space="preserve"> </w:t>
      </w:r>
      <w:r>
        <w:rPr>
          <w:rFonts w:ascii="Arial" w:cs="Arial" w:eastAsia="Arial" w:hAnsi="Arial"/>
          <w:sz w:val="19"/>
          <w:szCs w:val="19"/>
          <w:color w:val="auto"/>
        </w:rPr>
        <w:t>By-Laws, Company shall indemnify, defend and provide Director and Officer liability insurance coverage to Executive at all times during and after Executive’s employment to the maximum extent permitted by applicable state laws and such insurance policies to cover Executive’s liability and expenses related to Executive’s acts and omissions within the course and scope of employment with Company, and shall pay Executive’s expenses in defending any civil or criminal action, suit, or proceeding in advance of the final disposition of such action, suit, or proceeding, to the maximum extent permitted under such applicable state laws.</w:t>
      </w:r>
    </w:p>
    <w:p>
      <w:pPr>
        <w:spacing w:after="0" w:line="173" w:lineRule="exact"/>
        <w:rPr>
          <w:rFonts w:ascii="Arial" w:cs="Arial" w:eastAsia="Arial" w:hAnsi="Arial"/>
          <w:sz w:val="19"/>
          <w:szCs w:val="19"/>
          <w:b w:val="1"/>
          <w:bCs w:val="1"/>
          <w:color w:val="auto"/>
        </w:rPr>
      </w:pPr>
    </w:p>
    <w:p>
      <w:pPr>
        <w:jc w:val="both"/>
        <w:ind w:firstLine="656"/>
        <w:spacing w:after="0" w:line="257" w:lineRule="auto"/>
        <w:tabs>
          <w:tab w:leader="none" w:pos="1275"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This Agreement, together with the Exhibits, sets forth the complete and exclusive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with regard to the subject matter hereof, and supersedes any and all prior or contemporaneous agreements, promises, representations, or communications, written or oral, pertaining to the subject matter hereof (including, but not limited to, the Prior CIC Agreement and any other communications between the Parties regarding benefits in the event of a change in control of Company); provided, however, that this Agreement and its Exhibits do not supersede any prior Performance Unit Plan agreements or any other equity agreements or plans. If any provision of this Agreement is determined to be invalid or unenforceable, in whole or in part, this determination will not affect any other provision of this Agreement, and the invalid or unenforceable provision shall be modified to render it valid and enforceable consistent with the intent of the parties insofar as possible under applicable law. For purposes of construing this Agreement, any ambiguities shall not be construed against any party as the drafter. This Agreement may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6" w:right="239" w:bottom="1440" w:gutter="0" w:footer="0" w:header="0"/>
        </w:sectPr>
      </w:pPr>
    </w:p>
    <w:bookmarkStart w:id="94" w:name="page95"/>
    <w:bookmarkEnd w:id="94"/>
    <w:p>
      <w:pPr>
        <w:jc w:val="both"/>
        <w:spacing w:after="0" w:line="250" w:lineRule="auto"/>
        <w:rPr>
          <w:sz w:val="20"/>
          <w:szCs w:val="20"/>
          <w:color w:val="auto"/>
        </w:rPr>
      </w:pPr>
      <w:r>
        <w:rPr>
          <w:rFonts w:ascii="Arial" w:cs="Arial" w:eastAsia="Arial" w:hAnsi="Arial"/>
          <w:sz w:val="20"/>
          <w:szCs w:val="20"/>
          <w:color w:val="auto"/>
        </w:rPr>
        <w:t>be executed in counterparts, which shall be deemed to be part of one original, and facsimile signatures shall be equivalent to original signatures. The validity, interpretation, construction and performance of this Agreement shall be governed by the laws of the State of California, without regard to conflict of laws principles.</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each duly executed this Agreement as of the date written below to indicate their</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and acceptance of all of the above-stated terms and conditions.</w:t>
      </w:r>
    </w:p>
    <w:p>
      <w:pPr>
        <w:spacing w:after="0" w:line="16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THE COOPER COMPANIES, INC.</w:t>
      </w:r>
    </w:p>
    <w:p>
      <w:pPr>
        <w:spacing w:after="0" w:line="200" w:lineRule="exact"/>
        <w:rPr>
          <w:sz w:val="20"/>
          <w:szCs w:val="20"/>
          <w:color w:val="auto"/>
        </w:rPr>
      </w:pPr>
    </w:p>
    <w:p>
      <w:pPr>
        <w:spacing w:after="0" w:line="25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By:/s Randal 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-14605</wp:posOffset>
            </wp:positionV>
            <wp:extent cx="11379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Its:Vice President, General Counsel &amp; Secretary</w:t>
      </w:r>
    </w:p>
    <w:p>
      <w:pPr>
        <w:spacing w:after="0" w:line="21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Date:April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-14605</wp:posOffset>
            </wp:positionV>
            <wp:extent cx="862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233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Daniel G.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12077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Daniel G. McBride</w:t>
      </w:r>
    </w:p>
    <w:p>
      <w:pPr>
        <w:spacing w:after="0" w:line="200" w:lineRule="exact"/>
        <w:rPr>
          <w:sz w:val="20"/>
          <w:szCs w:val="20"/>
          <w:color w:val="auto"/>
        </w:rPr>
      </w:pPr>
    </w:p>
    <w:p>
      <w:pPr>
        <w:spacing w:after="0" w:line="229"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April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-14605</wp:posOffset>
            </wp:positionV>
            <wp:extent cx="8623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6"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 CONFIDENTIAL INFORMATION AND INVENTION ASSIGNMENT AGREEMENT</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In consideration of my employment or continued employment by </w:t>
      </w:r>
      <w:r>
        <w:rPr>
          <w:rFonts w:ascii="Arial" w:cs="Arial" w:eastAsia="Arial" w:hAnsi="Arial"/>
          <w:sz w:val="22"/>
          <w:szCs w:val="22"/>
          <w:b w:val="1"/>
          <w:bCs w:val="1"/>
          <w:color w:val="auto"/>
        </w:rPr>
        <w:t>THE COOPER COMPANIES, INC. (“</w:t>
      </w:r>
      <w:r>
        <w:rPr>
          <w:rFonts w:ascii="Arial" w:cs="Arial" w:eastAsia="Arial" w:hAnsi="Arial"/>
          <w:sz w:val="22"/>
          <w:szCs w:val="22"/>
          <w:b w:val="1"/>
          <w:bCs w:val="1"/>
          <w:i w:val="1"/>
          <w:iCs w:val="1"/>
          <w:color w:val="auto"/>
        </w:rPr>
        <w:t>Employer</w:t>
      </w:r>
      <w:r>
        <w:rPr>
          <w:rFonts w:ascii="Arial" w:cs="Arial" w:eastAsia="Arial" w:hAnsi="Arial"/>
          <w:sz w:val="22"/>
          <w:szCs w:val="22"/>
          <w:b w:val="1"/>
          <w:bCs w:val="1"/>
          <w:color w:val="auto"/>
        </w:rPr>
        <w:t>”)</w:t>
      </w:r>
      <w:r>
        <w:rPr>
          <w:rFonts w:ascii="Arial" w:cs="Arial" w:eastAsia="Arial" w:hAnsi="Arial"/>
          <w:sz w:val="22"/>
          <w:szCs w:val="22"/>
          <w:color w:val="auto"/>
        </w:rPr>
        <w:t>, and its subsidiaries, parents, affiliates, successors and assigns (together with Employer,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compensation paid to me now and during my employment with Company, I hereby enter into this Employee Confidential Information and Invention Assignment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agree as follows:</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20"/>
          <w:szCs w:val="20"/>
          <w:b w:val="1"/>
          <w:bCs w:val="1"/>
          <w:color w:val="auto"/>
        </w:rPr>
      </w:pPr>
      <w:r>
        <w:rPr>
          <w:rFonts w:ascii="Arial" w:cs="Arial" w:eastAsia="Arial" w:hAnsi="Arial"/>
          <w:sz w:val="22"/>
          <w:szCs w:val="22"/>
          <w:b w:val="1"/>
          <w:bCs w:val="1"/>
          <w:color w:val="auto"/>
        </w:rPr>
        <w:t>Confidential Information Protections</w:t>
      </w:r>
      <w:r>
        <w:rPr>
          <w:rFonts w:ascii="Arial" w:cs="Arial" w:eastAsia="Arial" w:hAnsi="Arial"/>
          <w:sz w:val="22"/>
          <w:szCs w:val="22"/>
          <w:color w:val="auto"/>
        </w:rPr>
        <w:t>.</w:t>
      </w:r>
    </w:p>
    <w:p>
      <w:pPr>
        <w:spacing w:after="0" w:line="1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1"/>
          <w:szCs w:val="21"/>
          <w:b w:val="1"/>
          <w:bCs w:val="1"/>
          <w:color w:val="auto"/>
        </w:rPr>
        <w:t>Recognition of Company’s Rights; Nondisclosure</w:t>
      </w:r>
      <w:r>
        <w:rPr>
          <w:rFonts w:ascii="Arial" w:cs="Arial" w:eastAsia="Arial" w:hAnsi="Arial"/>
          <w:sz w:val="21"/>
          <w:szCs w:val="21"/>
          <w:color w:val="auto"/>
        </w:rPr>
        <w:t>. I understand and acknowledge that my employment by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creates a relationship of confidence and trust with respect to Company’s Confidential Information (as defined below) and that Company has a protectable interest therein. At all times during and after my employment, I will hold in confidence and will not disclose, use, lecture upon, or publish any of Company’s Confidential Information, except as such disclosure, use or publication may be required in connection with my work for Company, or unless an officer of Company expressly authorizes such disclosure, provided, however, that I will obtain Company’s written approval before publishing or submitting for publication any material (written, oral, or otherwise) that discloses and/or incorporates any Confidential Information. I hereby assign to Company any rights I may have or acquire in any Confidential Information and acknowledge and agree that all Confidential Information will be the sole and exclusive property of Company and its assigns. I will take all reasonable precautions to prevent the disclosure of Confidential Information. Notwithstanding the foregoing, pursuant to 18 U.S.C. Section 1833(b), I will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pacing w:after="0" w:line="200" w:lineRule="exact"/>
        <w:rPr>
          <w:sz w:val="20"/>
          <w:szCs w:val="20"/>
          <w:color w:val="auto"/>
        </w:rPr>
      </w:pPr>
    </w:p>
    <w:p>
      <w:pPr>
        <w:spacing w:after="0" w:line="338"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any and all confidential knowledge, data or</w:t>
      </w:r>
      <w:r>
        <w:rPr>
          <w:rFonts w:ascii="Arial" w:cs="Arial" w:eastAsia="Arial" w:hAnsi="Arial"/>
          <w:sz w:val="18"/>
          <w:szCs w:val="18"/>
          <w:b w:val="1"/>
          <w:bCs w:val="1"/>
          <w:color w:val="auto"/>
        </w:rPr>
        <w:t xml:space="preserve"> </w:t>
      </w:r>
      <w:r>
        <w:rPr>
          <w:rFonts w:ascii="Arial" w:cs="Arial" w:eastAsia="Arial" w:hAnsi="Arial"/>
          <w:sz w:val="19"/>
          <w:szCs w:val="19"/>
          <w:color w:val="auto"/>
        </w:rPr>
        <w:t>information of Company. By way of illustration but not limitation, Confidential Information includes (a) trade secrets, inventions, mask works, ideas, processes, formulas, software in source or object code, data, programs, writings, works of authorship, technology, know-how, improvements, discoveries, developments, designs and techniques and any other work product of any nature whatsoever and all Intellectual Property Rights in all of the foregoing (as defined below) therein (collectively, “</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w:t>
      </w:r>
    </w:p>
    <w:p>
      <w:pPr>
        <w:jc w:val="both"/>
        <w:ind w:firstLine="8"/>
        <w:spacing w:after="0" w:line="288" w:lineRule="auto"/>
        <w:tabs>
          <w:tab w:leader="none" w:pos="331"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information regarding research, development, new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 methods of conducting Company business, suppliers and supplier information, and purchasing; (c) information regarding customers and potential customers of Company, including customer lists, names, representatives, their needs or desires with respect to the types of products or services offered by Company, proposals, bids, contracts and their contents and parties, the type and quantity of</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0" w:right="239" w:bottom="1440" w:gutter="0" w:footer="0" w:header="0"/>
        </w:sectPr>
      </w:pPr>
    </w:p>
    <w:bookmarkStart w:id="96" w:name="page97"/>
    <w:bookmarkEnd w:id="96"/>
    <w:p>
      <w:pPr>
        <w:jc w:val="both"/>
        <w:spacing w:after="0" w:line="285" w:lineRule="auto"/>
        <w:rPr>
          <w:sz w:val="20"/>
          <w:szCs w:val="20"/>
          <w:color w:val="auto"/>
        </w:rPr>
      </w:pPr>
      <w:r>
        <w:rPr>
          <w:rFonts w:ascii="Arial" w:cs="Arial" w:eastAsia="Arial" w:hAnsi="Arial"/>
          <w:sz w:val="19"/>
          <w:szCs w:val="19"/>
          <w:color w:val="auto"/>
        </w:rPr>
        <w:t>products and services provided or sought to be provided to customers and potential customers of Company and other non-public information relating to customers and potential customers; (d) information regarding any of Company’s business partners and their services, including names, representatives, proposals, bids, contracts and their contents and parties, the type and quantity of products and services received by Company, and other non-public information relating to business partners; (e) information regarding personnel, employee lists, compensation, and employee skills; and (f) any other non-public information which a competitor of Company could use to the competitive disadvantage of Company. Furthermore, I acknowledge and agree that all Company Inventions (as defined in Section 2.1) are deemed Confidential Information of Company. Notwithstanding the foregoing, it is understood that, at all times, I am free to use information which was known to me prior to my employment with Company or which is, or becomes, generally known in the trade or industry through no breach of this Agreement or any other act or omission by me. Notwithstanding anything to the contrary in this Agreement or any other agreement between the Company and me, nothing in this Agreement will limit my right to discuss my employment or report possible violations of law or regulation with the Equal Employment Opportunity Commission, United States Department of Labor, the National Labor Relations Board, the Securities and Exchange Commission, or other federal government agency or similar state or local agency or to discuss the terms and conditions of my employment with others to the extent expressly permitted by Section 7 of the National Labor Relations Act or to the extent that such disclosure is protected under the applicable provisions of law or regulation, including but not limited to “whistleblower” statutes or other similar provisions that protect such disclosure</w:t>
      </w:r>
    </w:p>
    <w:p>
      <w:pPr>
        <w:spacing w:after="0" w:line="56"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1"/>
          <w:szCs w:val="21"/>
          <w:b w:val="1"/>
          <w:bCs w:val="1"/>
          <w:color w:val="auto"/>
        </w:rPr>
        <w:t>Third Party Information</w:t>
      </w:r>
      <w:r>
        <w:rPr>
          <w:rFonts w:ascii="Arial" w:cs="Arial" w:eastAsia="Arial" w:hAnsi="Arial"/>
          <w:sz w:val="21"/>
          <w:szCs w:val="21"/>
          <w:color w:val="auto"/>
        </w:rPr>
        <w:t>. I understand, in addition, that Company has received and in the future will receive from third</w:t>
      </w:r>
      <w:r>
        <w:rPr>
          <w:rFonts w:ascii="Arial" w:cs="Arial" w:eastAsia="Arial" w:hAnsi="Arial"/>
          <w:sz w:val="20"/>
          <w:szCs w:val="20"/>
          <w:b w:val="1"/>
          <w:bCs w:val="1"/>
          <w:color w:val="auto"/>
        </w:rPr>
        <w:t xml:space="preserve"> </w:t>
      </w:r>
      <w:r>
        <w:rPr>
          <w:rFonts w:ascii="Arial" w:cs="Arial" w:eastAsia="Arial" w:hAnsi="Arial"/>
          <w:sz w:val="21"/>
          <w:szCs w:val="21"/>
          <w:color w:val="auto"/>
        </w:rPr>
        <w:t>parties their confidential and/or proprietary knowledge, data or information (</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Third Party Information</w:t>
      </w:r>
      <w:r>
        <w:rPr>
          <w:rFonts w:ascii="Arial" w:cs="Arial" w:eastAsia="Arial" w:hAnsi="Arial"/>
          <w:sz w:val="21"/>
          <w:szCs w:val="21"/>
          <w:b w:val="1"/>
          <w:bCs w:val="1"/>
          <w:color w:val="auto"/>
        </w:rPr>
        <w:t>”</w:t>
      </w:r>
      <w:r>
        <w:rPr>
          <w:rFonts w:ascii="Arial" w:cs="Arial" w:eastAsia="Arial" w:hAnsi="Arial"/>
          <w:sz w:val="21"/>
          <w:szCs w:val="21"/>
          <w:color w:val="auto"/>
        </w:rPr>
        <w:t>) subject to a duty on Company’s part to maintain the confidentiality of such information and to use it only for certain limited purposes. During the term of my employment and thereafter, I will hold Third Party Information in confidence and will not disclose to anyone (other than Company personnel who need to know such information in connection with their work for Company) or use Third Party Information, in each case except in connection with my work for Company, or as otherwise expressly authorized by an officer of Company in writing.</w:t>
      </w:r>
    </w:p>
    <w:p>
      <w:pPr>
        <w:spacing w:after="0" w:line="65"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1"/>
          <w:szCs w:val="21"/>
          <w:b w:val="1"/>
          <w:bCs w:val="1"/>
          <w:color w:val="auto"/>
        </w:rPr>
        <w:t>Term of Nondisclosure Restrictions</w:t>
      </w:r>
      <w:r>
        <w:rPr>
          <w:rFonts w:ascii="Arial" w:cs="Arial" w:eastAsia="Arial" w:hAnsi="Arial"/>
          <w:sz w:val="21"/>
          <w:szCs w:val="21"/>
          <w:color w:val="auto"/>
        </w:rPr>
        <w:t>. I understand that Confidential Information and Third Party Information is only to</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be used or disclosed by me as provided in this Section 1. If a temporal limitation on my obligation not to use or disclose such information is required under applicable law, and the Agreement or its restriction(s) cannot otherwise be enforced, I agree and Company agrees that the two year period after the date my employment ends will be the temporal limitation relevant to the contested restriction; </w:t>
      </w:r>
      <w:r>
        <w:rPr>
          <w:rFonts w:ascii="Arial" w:cs="Arial" w:eastAsia="Arial" w:hAnsi="Arial"/>
          <w:sz w:val="21"/>
          <w:szCs w:val="21"/>
          <w:b w:val="1"/>
          <w:bCs w:val="1"/>
          <w:i w:val="1"/>
          <w:iCs w:val="1"/>
          <w:color w:val="auto"/>
        </w:rPr>
        <w:t>provided, however</w:t>
      </w:r>
      <w:r>
        <w:rPr>
          <w:rFonts w:ascii="Arial" w:cs="Arial" w:eastAsia="Arial" w:hAnsi="Arial"/>
          <w:sz w:val="21"/>
          <w:szCs w:val="21"/>
          <w:b w:val="1"/>
          <w:bCs w:val="1"/>
          <w:color w:val="auto"/>
        </w:rPr>
        <w:t>,</w:t>
      </w:r>
      <w:r>
        <w:rPr>
          <w:rFonts w:ascii="Arial" w:cs="Arial" w:eastAsia="Arial" w:hAnsi="Arial"/>
          <w:sz w:val="21"/>
          <w:szCs w:val="21"/>
          <w:color w:val="auto"/>
        </w:rPr>
        <w:t xml:space="preserve"> that this sentence will not apply to trade secrets protected without temporal limitation under applicable law.</w:t>
      </w:r>
    </w:p>
    <w:p>
      <w:pPr>
        <w:spacing w:after="0" w:line="6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1"/>
          <w:szCs w:val="21"/>
          <w:b w:val="1"/>
          <w:bCs w:val="1"/>
          <w:color w:val="auto"/>
        </w:rPr>
        <w:t>No Improper Use of Information of Prior Employers and Others</w:t>
      </w:r>
      <w:r>
        <w:rPr>
          <w:rFonts w:ascii="Arial" w:cs="Arial" w:eastAsia="Arial" w:hAnsi="Arial"/>
          <w:sz w:val="21"/>
          <w:szCs w:val="21"/>
          <w:color w:val="auto"/>
        </w:rPr>
        <w:t>. During my employment by Company, I will not</w:t>
      </w:r>
      <w:r>
        <w:rPr>
          <w:rFonts w:ascii="Arial" w:cs="Arial" w:eastAsia="Arial" w:hAnsi="Arial"/>
          <w:sz w:val="20"/>
          <w:szCs w:val="20"/>
          <w:b w:val="1"/>
          <w:bCs w:val="1"/>
          <w:color w:val="auto"/>
        </w:rPr>
        <w:t xml:space="preserve"> </w:t>
      </w:r>
      <w:r>
        <w:rPr>
          <w:rFonts w:ascii="Arial" w:cs="Arial" w:eastAsia="Arial" w:hAnsi="Arial"/>
          <w:sz w:val="21"/>
          <w:szCs w:val="21"/>
          <w:color w:val="auto"/>
        </w:rPr>
        <w:t>improperly use or disclose confidential information or trade secrets, if any, of any former employer or any other person to whom I have an obligation of confidentiality, and I will not bring onto the premises of Company any unpublished documents or any property belonging to any former employer or any other person to whom I have an obligation of confidentiality unless consented to in writing by that former employer or person.</w:t>
      </w:r>
    </w:p>
    <w:p>
      <w:pPr>
        <w:spacing w:after="0" w:line="56"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20"/>
          <w:szCs w:val="20"/>
          <w:b w:val="1"/>
          <w:bCs w:val="1"/>
          <w:color w:val="auto"/>
        </w:rPr>
      </w:pPr>
      <w:r>
        <w:rPr>
          <w:rFonts w:ascii="Arial" w:cs="Arial" w:eastAsia="Arial" w:hAnsi="Arial"/>
          <w:sz w:val="22"/>
          <w:szCs w:val="22"/>
          <w:b w:val="1"/>
          <w:bCs w:val="1"/>
          <w:color w:val="auto"/>
        </w:rPr>
        <w:t>Assignments of Inventions</w:t>
      </w:r>
      <w:r>
        <w:rPr>
          <w:rFonts w:ascii="Arial" w:cs="Arial" w:eastAsia="Arial" w:hAnsi="Arial"/>
          <w:sz w:val="22"/>
          <w:szCs w:val="22"/>
          <w:color w:val="auto"/>
        </w:rPr>
        <w: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75" w:right="239" w:bottom="1440" w:gutter="0" w:footer="0" w:header="0"/>
        </w:sectPr>
      </w:pPr>
    </w:p>
    <w:bookmarkStart w:id="97" w:name="page98"/>
    <w:bookmarkEnd w:id="97"/>
    <w:p>
      <w:pPr>
        <w:jc w:val="both"/>
        <w:ind w:firstLine="392"/>
        <w:spacing w:after="0" w:line="272"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20"/>
          <w:szCs w:val="20"/>
          <w:b w:val="1"/>
          <w:bCs w:val="1"/>
          <w:color w:val="auto"/>
        </w:rPr>
        <w:t>Definitions</w:t>
      </w:r>
      <w:r>
        <w:rPr>
          <w:rFonts w:ascii="Arial" w:cs="Arial" w:eastAsia="Arial" w:hAnsi="Arial"/>
          <w:sz w:val="20"/>
          <w:szCs w:val="20"/>
          <w:color w:val="auto"/>
        </w:rPr>
        <w:t>. As used in this Agreement, the term (a)</w:t>
      </w:r>
      <w:r>
        <w:rPr>
          <w:rFonts w:ascii="Arial" w:cs="Arial" w:eastAsia="Arial" w:hAnsi="Arial"/>
          <w:sz w:val="19"/>
          <w:szCs w:val="19"/>
          <w:b w:val="1"/>
          <w:bCs w:val="1"/>
          <w:color w:val="auto"/>
        </w:rPr>
        <w:t xml:space="preserve">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Intellectual Property Rights</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20"/>
          <w:szCs w:val="20"/>
          <w:color w:val="auto"/>
        </w:rPr>
        <w:t>means all past, present and future</w:t>
      </w:r>
      <w:r>
        <w:rPr>
          <w:rFonts w:ascii="Arial" w:cs="Arial" w:eastAsia="Arial" w:hAnsi="Arial"/>
          <w:sz w:val="19"/>
          <w:szCs w:val="19"/>
          <w:b w:val="1"/>
          <w:bCs w:val="1"/>
          <w:color w:val="auto"/>
        </w:rPr>
        <w:t xml:space="preserve"> </w:t>
      </w:r>
      <w:r>
        <w:rPr>
          <w:rFonts w:ascii="Arial" w:cs="Arial" w:eastAsia="Arial" w:hAnsi="Arial"/>
          <w:sz w:val="20"/>
          <w:szCs w:val="20"/>
          <w:color w:val="auto"/>
        </w:rPr>
        <w:t>rights of the following types, which may exist or be created under the laws of any jurisdiction in the world: trade secrets, Copyrights, trademark and trade name rights, mask work rights, patents and industrial property, and all proprietary rights in technology or works of authorized; (b) “</w:t>
      </w:r>
      <w:r>
        <w:rPr>
          <w:rFonts w:ascii="Arial" w:cs="Arial" w:eastAsia="Arial" w:hAnsi="Arial"/>
          <w:sz w:val="20"/>
          <w:szCs w:val="20"/>
          <w:b w:val="1"/>
          <w:bCs w:val="1"/>
          <w:i w:val="1"/>
          <w:iCs w:val="1"/>
          <w:color w:val="auto"/>
        </w:rPr>
        <w:t>Copyright</w:t>
      </w:r>
      <w:r>
        <w:rPr>
          <w:rFonts w:ascii="Arial" w:cs="Arial" w:eastAsia="Arial" w:hAnsi="Arial"/>
          <w:sz w:val="20"/>
          <w:szCs w:val="20"/>
          <w:color w:val="auto"/>
        </w:rPr>
        <w:t>” means the exclusive legal right to reproduce, perform, display, distribute and make derivative works of a work of authorship (as a literary, musical, or artistic work) recognized by the laws of any jurisdiction or country; (c) “</w:t>
      </w:r>
      <w:r>
        <w:rPr>
          <w:rFonts w:ascii="Arial" w:cs="Arial" w:eastAsia="Arial" w:hAnsi="Arial"/>
          <w:sz w:val="20"/>
          <w:szCs w:val="20"/>
          <w:b w:val="1"/>
          <w:bCs w:val="1"/>
          <w:i w:val="1"/>
          <w:iCs w:val="1"/>
          <w:color w:val="auto"/>
        </w:rPr>
        <w:t>Moral Rights</w:t>
      </w:r>
      <w:r>
        <w:rPr>
          <w:rFonts w:ascii="Arial" w:cs="Arial" w:eastAsia="Arial" w:hAnsi="Arial"/>
          <w:sz w:val="20"/>
          <w:szCs w:val="20"/>
          <w:color w:val="auto"/>
        </w:rPr>
        <w:t>” means all paternity, integrity, disclosure, withdrawal, special and any other similar rights recognized by the laws of any jurisdiction or country; (d) “</w:t>
      </w:r>
      <w:r>
        <w:rPr>
          <w:rFonts w:ascii="Arial" w:cs="Arial" w:eastAsia="Arial" w:hAnsi="Arial"/>
          <w:sz w:val="20"/>
          <w:szCs w:val="20"/>
          <w:b w:val="1"/>
          <w:bCs w:val="1"/>
          <w:i w:val="1"/>
          <w:iCs w:val="1"/>
          <w:color w:val="auto"/>
        </w:rPr>
        <w:t>Company Inventions</w:t>
      </w:r>
      <w:r>
        <w:rPr>
          <w:rFonts w:ascii="Arial" w:cs="Arial" w:eastAsia="Arial" w:hAnsi="Arial"/>
          <w:sz w:val="20"/>
          <w:szCs w:val="20"/>
          <w:color w:val="auto"/>
        </w:rPr>
        <w:t>” means any and all Inventions (and all Intellectual Property Rights with respect thereto) that are made, conceived, prepared, produced, authored, edited, amended, reduced to practice, or learned by me, either alone or with others, during the period of my employment by Company, and all printed, physical, and electronic copies, all improvements, rights, and claims related to the foregoing, and other tangible embodiments thereof; and (e) “</w:t>
      </w:r>
      <w:r>
        <w:rPr>
          <w:rFonts w:ascii="Arial" w:cs="Arial" w:eastAsia="Arial" w:hAnsi="Arial"/>
          <w:sz w:val="20"/>
          <w:szCs w:val="20"/>
          <w:b w:val="1"/>
          <w:bCs w:val="1"/>
          <w:i w:val="1"/>
          <w:iCs w:val="1"/>
          <w:color w:val="auto"/>
        </w:rPr>
        <w:t>Nonassignable Inventions</w:t>
      </w:r>
      <w:r>
        <w:rPr>
          <w:rFonts w:ascii="Arial" w:cs="Arial" w:eastAsia="Arial" w:hAnsi="Arial"/>
          <w:sz w:val="20"/>
          <w:szCs w:val="20"/>
          <w:color w:val="auto"/>
        </w:rPr>
        <w:t>” means any Inventions that I develop entirely on my own time without using any of Company’s equipment, supplies, facilities, or trade secret information, except for those Inventions that either: (i) relate at the time of conception or reduction to practice of the Invention to Company’s business, or actual or demonstrably anticipated research or development of Company; (ii) result from any work performed by me for Company; or (iii) are covered by a contract between Company and the United States or any of its agencies that requires full title to such patent or Invention to be in the United States.</w:t>
      </w:r>
    </w:p>
    <w:p>
      <w:pPr>
        <w:spacing w:after="0" w:line="61"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Prior Inventions</w:t>
      </w:r>
      <w:r>
        <w:rPr>
          <w:rFonts w:ascii="Arial" w:cs="Arial" w:eastAsia="Arial" w:hAnsi="Arial"/>
          <w:sz w:val="19"/>
          <w:szCs w:val="19"/>
          <w:color w:val="auto"/>
        </w:rPr>
        <w:t>.</w:t>
      </w:r>
    </w:p>
    <w:p>
      <w:pPr>
        <w:spacing w:after="0" w:line="148" w:lineRule="exact"/>
        <w:rPr>
          <w:sz w:val="20"/>
          <w:szCs w:val="20"/>
          <w:color w:val="auto"/>
        </w:rPr>
      </w:pPr>
    </w:p>
    <w:p>
      <w:pPr>
        <w:jc w:val="both"/>
        <w:ind w:firstLine="1305"/>
        <w:spacing w:after="0" w:line="256" w:lineRule="auto"/>
        <w:tabs>
          <w:tab w:leader="none" w:pos="1748" w:val="left"/>
        </w:tabs>
        <w:numPr>
          <w:ilvl w:val="0"/>
          <w:numId w:val="99"/>
        </w:numPr>
        <w:rPr>
          <w:rFonts w:ascii="Arial" w:cs="Arial" w:eastAsia="Arial" w:hAnsi="Arial"/>
          <w:sz w:val="20"/>
          <w:szCs w:val="20"/>
          <w:b w:val="1"/>
          <w:bCs w:val="1"/>
          <w:color w:val="auto"/>
        </w:rPr>
      </w:pPr>
      <w:r>
        <w:rPr>
          <w:rFonts w:ascii="Arial" w:cs="Arial" w:eastAsia="Arial" w:hAnsi="Arial"/>
          <w:sz w:val="22"/>
          <w:szCs w:val="22"/>
          <w:color w:val="auto"/>
        </w:rPr>
        <w:t xml:space="preserve">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is a list describing all Inventions, if any, that (a) are owned by me or in which I have an interest and that were made or acquired by me prior to my date of first employment by Company, and (b) are not to be assigned to Company (“</w:t>
      </w:r>
      <w:r>
        <w:rPr>
          <w:rFonts w:ascii="Arial" w:cs="Arial" w:eastAsia="Arial" w:hAnsi="Arial"/>
          <w:sz w:val="22"/>
          <w:szCs w:val="22"/>
          <w:b w:val="1"/>
          <w:bCs w:val="1"/>
          <w:i w:val="1"/>
          <w:iCs w:val="1"/>
          <w:color w:val="auto"/>
        </w:rPr>
        <w:t>Prior Inventions</w:t>
      </w:r>
      <w:r>
        <w:rPr>
          <w:rFonts w:ascii="Arial" w:cs="Arial" w:eastAsia="Arial" w:hAnsi="Arial"/>
          <w:sz w:val="22"/>
          <w:szCs w:val="22"/>
          <w:color w:val="auto"/>
        </w:rPr>
        <w:t>”). If no such list is attached, I represent and warrant that no Inventions that would be classified as Prior Inventions exist as of the date of this Agreement.</w:t>
      </w:r>
    </w:p>
    <w:p>
      <w:pPr>
        <w:spacing w:after="0" w:line="182" w:lineRule="exact"/>
        <w:rPr>
          <w:rFonts w:ascii="Arial" w:cs="Arial" w:eastAsia="Arial" w:hAnsi="Arial"/>
          <w:sz w:val="20"/>
          <w:szCs w:val="20"/>
          <w:b w:val="1"/>
          <w:bCs w:val="1"/>
          <w:color w:val="auto"/>
        </w:rPr>
      </w:pPr>
    </w:p>
    <w:p>
      <w:pPr>
        <w:jc w:val="both"/>
        <w:ind w:firstLine="1305"/>
        <w:spacing w:after="0" w:line="258" w:lineRule="auto"/>
        <w:tabs>
          <w:tab w:leader="none" w:pos="1732" w:val="left"/>
        </w:tabs>
        <w:numPr>
          <w:ilvl w:val="0"/>
          <w:numId w:val="99"/>
        </w:numPr>
        <w:rPr>
          <w:rFonts w:ascii="Arial" w:cs="Arial" w:eastAsia="Arial" w:hAnsi="Arial"/>
          <w:sz w:val="19"/>
          <w:szCs w:val="19"/>
          <w:b w:val="1"/>
          <w:bCs w:val="1"/>
          <w:color w:val="auto"/>
        </w:rPr>
      </w:pPr>
      <w:r>
        <w:rPr>
          <w:rFonts w:ascii="Arial" w:cs="Arial" w:eastAsia="Arial" w:hAnsi="Arial"/>
          <w:sz w:val="21"/>
          <w:szCs w:val="21"/>
          <w:color w:val="auto"/>
        </w:rPr>
        <w:t>I acknowledge and agree that if I use any Prior Inventions and/or Nonassignable Inventions in the scope of my employment, or if I include any Prior Inventions or Nonassignable Inventions in any product or service of Company, or if my rights in any Prior Inventions or any Nonassignable Inventions may block or interfere with, or may otherwise be required for, the exercise by Company of any rights assigned to Company under this Agreement (each, a “</w:t>
      </w:r>
      <w:r>
        <w:rPr>
          <w:rFonts w:ascii="Arial" w:cs="Arial" w:eastAsia="Arial" w:hAnsi="Arial"/>
          <w:sz w:val="21"/>
          <w:szCs w:val="21"/>
          <w:b w:val="1"/>
          <w:bCs w:val="1"/>
          <w:i w:val="1"/>
          <w:iCs w:val="1"/>
          <w:color w:val="auto"/>
        </w:rPr>
        <w:t>License Event</w:t>
      </w:r>
      <w:r>
        <w:rPr>
          <w:rFonts w:ascii="Arial" w:cs="Arial" w:eastAsia="Arial" w:hAnsi="Arial"/>
          <w:sz w:val="21"/>
          <w:szCs w:val="21"/>
          <w:color w:val="auto"/>
        </w:rPr>
        <w:t>”), I will immediately so notify Company in writing. Unless Company and I agree otherwise in writing as to particular Prior Inventions or Nonassignable Invention, I hereby grant to Company, (whether or not I give Company notice as required above), a non-exclusive, perpetual, transferable,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Prior Inventions and Nonassignable Inventions, provided that the foregoing license shall only apply in connection with a License Event. To the extent that any third parties have any rights in or to any Prior Inventions or any Nonassignable Inventions, I hereby represent and warrant that such third party or parties have validly and irrevocably granted to me the right to grant the license stated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9" w:right="239" w:bottom="1440" w:gutter="0" w:footer="0" w:header="0"/>
        </w:sectPr>
      </w:pPr>
    </w:p>
    <w:bookmarkStart w:id="98" w:name="page99"/>
    <w:bookmarkEnd w:id="98"/>
    <w:p>
      <w:pPr>
        <w:jc w:val="both"/>
        <w:ind w:firstLine="392"/>
        <w:spacing w:after="0" w:line="260"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1"/>
          <w:szCs w:val="21"/>
          <w:b w:val="1"/>
          <w:bCs w:val="1"/>
          <w:color w:val="auto"/>
        </w:rPr>
        <w:t>Assignment of Company Inventions</w:t>
      </w:r>
      <w:r>
        <w:rPr>
          <w:rFonts w:ascii="Arial" w:cs="Arial" w:eastAsia="Arial" w:hAnsi="Arial"/>
          <w:sz w:val="21"/>
          <w:szCs w:val="21"/>
          <w:color w:val="auto"/>
        </w:rPr>
        <w:t>. Except for Nonassignable Inventions, I hereby assign to Employer all my right,</w:t>
      </w:r>
      <w:r>
        <w:rPr>
          <w:rFonts w:ascii="Arial" w:cs="Arial" w:eastAsia="Arial" w:hAnsi="Arial"/>
          <w:sz w:val="20"/>
          <w:szCs w:val="20"/>
          <w:b w:val="1"/>
          <w:bCs w:val="1"/>
          <w:color w:val="auto"/>
        </w:rPr>
        <w:t xml:space="preserve"> </w:t>
      </w:r>
      <w:r>
        <w:rPr>
          <w:rFonts w:ascii="Arial" w:cs="Arial" w:eastAsia="Arial" w:hAnsi="Arial"/>
          <w:sz w:val="21"/>
          <w:szCs w:val="21"/>
          <w:color w:val="auto"/>
        </w:rPr>
        <w:t>title, and interest in and to any and all Company Inventions and all Intellectual Property Rights related thereto. Any assignment of Company Inventions (and all Intellectual Property Rights with respect thereto) hereunder includes an assignment of all Moral Rights. To the extent such Moral Rights cannot be assigned to Employer and to the extent the following is allowed by the laws in any country where Moral Rights exist, I hereby unconditionally and irrevocably waive the enforcement of such Moral Rights, and all claims and causes of action of any kind against Employer or related to Employer’s customers, with respect to such rights. I further acknowledge and agree that neither my successors-in-interest nor legal heirs retain any Moral Rights in any Company Inventions (and any Intellectual Property Rights with respect thereto). Nothing contained in this Agreement shall be construed to reduce or limit Company’s rights, title, or interest in any Company Inventions so as to be less in any respect than that Company would have had in the absence of this Agreement.</w:t>
      </w:r>
    </w:p>
    <w:p>
      <w:pPr>
        <w:spacing w:after="0" w:line="126" w:lineRule="exact"/>
        <w:rPr>
          <w:sz w:val="20"/>
          <w:szCs w:val="20"/>
          <w:color w:val="auto"/>
        </w:rPr>
      </w:pPr>
    </w:p>
    <w:p>
      <w:pPr>
        <w:jc w:val="both"/>
        <w:ind w:firstLine="405"/>
        <w:spacing w:after="0" w:line="307"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1"/>
          <w:szCs w:val="21"/>
          <w:b w:val="1"/>
          <w:bCs w:val="1"/>
          <w:color w:val="auto"/>
        </w:rPr>
        <w:t>Nonassignable Inventions</w:t>
      </w:r>
      <w:r>
        <w:rPr>
          <w:rFonts w:ascii="Arial" w:cs="Arial" w:eastAsia="Arial" w:hAnsi="Arial"/>
          <w:sz w:val="21"/>
          <w:szCs w:val="21"/>
          <w:color w:val="auto"/>
        </w:rPr>
        <w:t>. I acknowledge that, in accordance with California Labor Code section 2870(a), nothing in this</w:t>
      </w:r>
      <w:r>
        <w:rPr>
          <w:rFonts w:ascii="Arial" w:cs="Arial" w:eastAsia="Arial" w:hAnsi="Arial"/>
          <w:sz w:val="20"/>
          <w:szCs w:val="20"/>
          <w:b w:val="1"/>
          <w:bCs w:val="1"/>
          <w:color w:val="auto"/>
        </w:rPr>
        <w:t xml:space="preserve"> </w:t>
      </w:r>
      <w:r>
        <w:rPr>
          <w:rFonts w:ascii="Arial" w:cs="Arial" w:eastAsia="Arial" w:hAnsi="Arial"/>
          <w:sz w:val="21"/>
          <w:szCs w:val="21"/>
          <w:color w:val="auto"/>
        </w:rPr>
        <w:t>Agreement shall require me to assign a Nonassignable Invention to Company.</w:t>
      </w:r>
    </w:p>
    <w:p>
      <w:pPr>
        <w:spacing w:after="0" w:line="125"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20"/>
          <w:szCs w:val="20"/>
          <w:b w:val="1"/>
          <w:bCs w:val="1"/>
          <w:color w:val="auto"/>
        </w:rPr>
        <w:t xml:space="preserve">2.5 </w:t>
      </w:r>
      <w:r>
        <w:rPr>
          <w:rFonts w:ascii="Arial" w:cs="Arial" w:eastAsia="Arial" w:hAnsi="Arial"/>
          <w:sz w:val="21"/>
          <w:szCs w:val="21"/>
          <w:b w:val="1"/>
          <w:bCs w:val="1"/>
          <w:color w:val="auto"/>
        </w:rPr>
        <w:t>Obligation to Keep Company Informed</w:t>
      </w:r>
      <w:r>
        <w:rPr>
          <w:rFonts w:ascii="Arial" w:cs="Arial" w:eastAsia="Arial" w:hAnsi="Arial"/>
          <w:sz w:val="21"/>
          <w:szCs w:val="21"/>
          <w:color w:val="auto"/>
        </w:rPr>
        <w:t>. During the period of my employment, I will promptly and fully disclose to</w:t>
      </w:r>
      <w:r>
        <w:rPr>
          <w:rFonts w:ascii="Arial" w:cs="Arial" w:eastAsia="Arial" w:hAnsi="Arial"/>
          <w:sz w:val="20"/>
          <w:szCs w:val="20"/>
          <w:b w:val="1"/>
          <w:bCs w:val="1"/>
          <w:color w:val="auto"/>
        </w:rPr>
        <w:t xml:space="preserve"> </w:t>
      </w:r>
      <w:r>
        <w:rPr>
          <w:rFonts w:ascii="Arial" w:cs="Arial" w:eastAsia="Arial" w:hAnsi="Arial"/>
          <w:sz w:val="21"/>
          <w:szCs w:val="21"/>
          <w:color w:val="auto"/>
        </w:rPr>
        <w:t>Company in writing all Inventions authored, conceived, or reduced to practice by me, either alone or jointly with others. At the time of each such disclosure, I will advise Company in writing of any Inventions that constitute Nonassignable Inventions; and I will at that time provide to Company in writing all evidence necessary to substantiate that belief. Company will keep in confidence and will not use for any purpose or disclose to third parties without my consent any confidential information disclosed in writing to Company pursuant to this Agreement relating to such Inventions.</w:t>
      </w:r>
    </w:p>
    <w:p>
      <w:pPr>
        <w:spacing w:after="0" w:line="169"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2.6 </w:t>
      </w:r>
      <w:r>
        <w:rPr>
          <w:rFonts w:ascii="Arial" w:cs="Arial" w:eastAsia="Arial" w:hAnsi="Arial"/>
          <w:sz w:val="21"/>
          <w:szCs w:val="21"/>
          <w:b w:val="1"/>
          <w:bCs w:val="1"/>
          <w:color w:val="auto"/>
        </w:rPr>
        <w:t>Government or Third Party</w:t>
      </w:r>
      <w:r>
        <w:rPr>
          <w:rFonts w:ascii="Arial" w:cs="Arial" w:eastAsia="Arial" w:hAnsi="Arial"/>
          <w:sz w:val="21"/>
          <w:szCs w:val="21"/>
          <w:color w:val="auto"/>
        </w:rPr>
        <w:t>. I agree that, as directed by Company, I will assign to a third party, including without</w:t>
      </w:r>
      <w:r>
        <w:rPr>
          <w:rFonts w:ascii="Arial" w:cs="Arial" w:eastAsia="Arial" w:hAnsi="Arial"/>
          <w:sz w:val="20"/>
          <w:szCs w:val="20"/>
          <w:b w:val="1"/>
          <w:bCs w:val="1"/>
          <w:color w:val="auto"/>
        </w:rPr>
        <w:t xml:space="preserve"> </w:t>
      </w:r>
      <w:r>
        <w:rPr>
          <w:rFonts w:ascii="Arial" w:cs="Arial" w:eastAsia="Arial" w:hAnsi="Arial"/>
          <w:sz w:val="21"/>
          <w:szCs w:val="21"/>
          <w:color w:val="auto"/>
        </w:rPr>
        <w:t>limitation the United States, all my right, title, and interest in and to any particular Company Invention.</w:t>
      </w:r>
    </w:p>
    <w:p>
      <w:pPr>
        <w:spacing w:after="0" w:line="1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2.7 </w:t>
      </w:r>
      <w:r>
        <w:rPr>
          <w:rFonts w:ascii="Arial" w:cs="Arial" w:eastAsia="Arial" w:hAnsi="Arial"/>
          <w:sz w:val="21"/>
          <w:szCs w:val="21"/>
          <w:b w:val="1"/>
          <w:bCs w:val="1"/>
          <w:color w:val="auto"/>
        </w:rPr>
        <w:t>Ownership of Work Product</w:t>
      </w:r>
      <w:r>
        <w:rPr>
          <w:rFonts w:ascii="Arial" w:cs="Arial" w:eastAsia="Arial" w:hAnsi="Arial"/>
          <w:sz w:val="21"/>
          <w:szCs w:val="21"/>
          <w:color w:val="auto"/>
        </w:rPr>
        <w:t>. I acknowledge that all original works of authorship which are made by me (solely or</w:t>
      </w:r>
      <w:r>
        <w:rPr>
          <w:rFonts w:ascii="Arial" w:cs="Arial" w:eastAsia="Arial" w:hAnsi="Arial"/>
          <w:sz w:val="20"/>
          <w:szCs w:val="20"/>
          <w:b w:val="1"/>
          <w:bCs w:val="1"/>
          <w:color w:val="auto"/>
        </w:rPr>
        <w:t xml:space="preserve"> </w:t>
      </w:r>
      <w:r>
        <w:rPr>
          <w:rFonts w:ascii="Arial" w:cs="Arial" w:eastAsia="Arial" w:hAnsi="Arial"/>
          <w:sz w:val="21"/>
          <w:szCs w:val="21"/>
          <w:color w:val="auto"/>
        </w:rPr>
        <w:t>jointly with others) within the scope of my employment and which are protectable by Copyright are “works made for hire,” pursuant to United States Copyright Act (17 U.S.C., Section 101).</w:t>
      </w:r>
    </w:p>
    <w:p>
      <w:pPr>
        <w:spacing w:after="0" w:line="43" w:lineRule="exact"/>
        <w:rPr>
          <w:sz w:val="20"/>
          <w:szCs w:val="20"/>
          <w:color w:val="auto"/>
        </w:rPr>
      </w:pPr>
    </w:p>
    <w:p>
      <w:pPr>
        <w:jc w:val="both"/>
        <w:ind w:firstLine="392"/>
        <w:spacing w:after="0" w:line="275" w:lineRule="auto"/>
        <w:rPr>
          <w:sz w:val="20"/>
          <w:szCs w:val="20"/>
          <w:color w:val="auto"/>
        </w:rPr>
      </w:pPr>
      <w:r>
        <w:rPr>
          <w:rFonts w:ascii="Arial" w:cs="Arial" w:eastAsia="Arial" w:hAnsi="Arial"/>
          <w:sz w:val="19"/>
          <w:szCs w:val="19"/>
          <w:b w:val="1"/>
          <w:bCs w:val="1"/>
          <w:color w:val="auto"/>
        </w:rPr>
        <w:t xml:space="preserve">2.8 </w:t>
      </w:r>
      <w:r>
        <w:rPr>
          <w:rFonts w:ascii="Arial" w:cs="Arial" w:eastAsia="Arial" w:hAnsi="Arial"/>
          <w:sz w:val="20"/>
          <w:szCs w:val="20"/>
          <w:b w:val="1"/>
          <w:bCs w:val="1"/>
          <w:color w:val="auto"/>
        </w:rPr>
        <w:t>Enforcement of Intellectual Property Rights and Assistance</w:t>
      </w:r>
      <w:r>
        <w:rPr>
          <w:rFonts w:ascii="Arial" w:cs="Arial" w:eastAsia="Arial" w:hAnsi="Arial"/>
          <w:sz w:val="20"/>
          <w:szCs w:val="20"/>
          <w:color w:val="auto"/>
        </w:rPr>
        <w:t>. I will assist Company in every proper way to obtain, and</w:t>
      </w:r>
      <w:r>
        <w:rPr>
          <w:rFonts w:ascii="Arial" w:cs="Arial" w:eastAsia="Arial" w:hAnsi="Arial"/>
          <w:sz w:val="19"/>
          <w:szCs w:val="19"/>
          <w:b w:val="1"/>
          <w:bCs w:val="1"/>
          <w:color w:val="auto"/>
        </w:rPr>
        <w:t xml:space="preserve"> </w:t>
      </w:r>
      <w:r>
        <w:rPr>
          <w:rFonts w:ascii="Arial" w:cs="Arial" w:eastAsia="Arial" w:hAnsi="Arial"/>
          <w:sz w:val="20"/>
          <w:szCs w:val="20"/>
          <w:color w:val="auto"/>
        </w:rPr>
        <w:t>from time to time enforce, United States and foreign Intellectual Property Rights and Moral Rights relating to Company Inventions in any and all countries. To that end I will execute, verify and deliver such documents and perform such other acts (including appearances as a witness) as Company may reasonably request for use in applying for, obtaining, perfecting, evidencing, sustaining and enforcing such Intellectual Property Rights and the assignment thereof. In addition, I will execute, verify and deliver assignments of such Intellectual Property Rights to Employer or its designee, including the United States or any third party designated by Employer. My obligation to assist Company with respect to Intellectual Property Rights relating to Company Inventions in any and all countries will continue beyond the termination of my employment, but Company will compensate me at a reasonable rate after such termination for the time actually spent by me at Company’s request on such assistance. In the event Company is unable for any reason, after reasonable effort, to secure my signature on any document needed in connection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9" w:right="239" w:bottom="1440" w:gutter="0" w:footer="0" w:header="0"/>
        </w:sectPr>
      </w:pPr>
    </w:p>
    <w:bookmarkStart w:id="99" w:name="page100"/>
    <w:bookmarkEnd w:id="99"/>
    <w:p>
      <w:pPr>
        <w:jc w:val="both"/>
        <w:spacing w:after="0" w:line="247" w:lineRule="auto"/>
        <w:rPr>
          <w:sz w:val="20"/>
          <w:szCs w:val="20"/>
          <w:color w:val="auto"/>
        </w:rPr>
      </w:pPr>
      <w:r>
        <w:rPr>
          <w:rFonts w:ascii="Arial" w:cs="Arial" w:eastAsia="Arial" w:hAnsi="Arial"/>
          <w:sz w:val="22"/>
          <w:szCs w:val="22"/>
          <w:color w:val="auto"/>
        </w:rPr>
        <w:t>with the actions specified in this paragraph, I hereby irrevocably designate and appoint Employer and its duly authorized officers and agents as my agent and attorney in fact, which appointment is coupled with an interest, to act for and on my behalf to execute, verify and file any such documents and to do all other lawfully permitted acts to further the purposes of the preceding paragraph with the same legal force and effect as if executed by me. I hereby waive and quitclaim to Company any and all claims, of any nature whatsoever, which I now or may hereafter have for infringement of any Intellectual Property Rights assigned under this Agreement to Employer.</w:t>
      </w:r>
    </w:p>
    <w:p>
      <w:pPr>
        <w:spacing w:after="0" w:line="80"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2.9 </w:t>
      </w:r>
      <w:r>
        <w:rPr>
          <w:rFonts w:ascii="Arial" w:cs="Arial" w:eastAsia="Arial" w:hAnsi="Arial"/>
          <w:sz w:val="21"/>
          <w:szCs w:val="21"/>
          <w:b w:val="1"/>
          <w:bCs w:val="1"/>
          <w:color w:val="auto"/>
        </w:rPr>
        <w:t>Incorporation of Software Code</w:t>
      </w:r>
      <w:r>
        <w:rPr>
          <w:rFonts w:ascii="Arial" w:cs="Arial" w:eastAsia="Arial" w:hAnsi="Arial"/>
          <w:sz w:val="21"/>
          <w:szCs w:val="21"/>
          <w:color w:val="auto"/>
        </w:rPr>
        <w:t>. I agree that I will not incorporate into any Inventions, including any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 </w:t>
      </w:r>
      <w:r>
        <w:rPr>
          <w:rFonts w:ascii="Arial" w:cs="Arial" w:eastAsia="Arial" w:hAnsi="Arial"/>
          <w:sz w:val="21"/>
          <w:szCs w:val="21"/>
          <w:b w:val="1"/>
          <w:bCs w:val="1"/>
          <w:color w:val="auto"/>
        </w:rPr>
        <w:t>except</w:t>
      </w:r>
      <w:r>
        <w:rPr>
          <w:rFonts w:ascii="Arial" w:cs="Arial" w:eastAsia="Arial" w:hAnsi="Arial"/>
          <w:sz w:val="21"/>
          <w:szCs w:val="21"/>
          <w:color w:val="auto"/>
        </w:rPr>
        <w:t xml:space="preserve"> in strict compliance with Company’s policies regarding the use of such software.</w:t>
      </w:r>
    </w:p>
    <w:p>
      <w:pPr>
        <w:spacing w:after="0" w:line="56" w:lineRule="exact"/>
        <w:rPr>
          <w:sz w:val="20"/>
          <w:szCs w:val="20"/>
          <w:color w:val="auto"/>
        </w:rPr>
      </w:pPr>
    </w:p>
    <w:p>
      <w:pPr>
        <w:jc w:val="both"/>
        <w:ind w:firstLine="8"/>
        <w:spacing w:after="0" w:line="256" w:lineRule="auto"/>
        <w:tabs>
          <w:tab w:leader="none" w:pos="355" w:val="left"/>
        </w:tabs>
        <w:numPr>
          <w:ilvl w:val="0"/>
          <w:numId w:val="100"/>
        </w:numPr>
        <w:rPr>
          <w:rFonts w:ascii="Arial" w:cs="Arial" w:eastAsia="Arial" w:hAnsi="Arial"/>
          <w:sz w:val="20"/>
          <w:szCs w:val="20"/>
          <w:b w:val="1"/>
          <w:bCs w:val="1"/>
          <w:color w:val="auto"/>
        </w:rPr>
      </w:pPr>
      <w:r>
        <w:rPr>
          <w:rFonts w:ascii="Arial" w:cs="Arial" w:eastAsia="Arial" w:hAnsi="Arial"/>
          <w:sz w:val="22"/>
          <w:szCs w:val="22"/>
          <w:b w:val="1"/>
          <w:bCs w:val="1"/>
          <w:color w:val="auto"/>
        </w:rPr>
        <w:t>Records</w:t>
      </w:r>
      <w:r>
        <w:rPr>
          <w:rFonts w:ascii="Arial" w:cs="Arial" w:eastAsia="Arial" w:hAnsi="Arial"/>
          <w:sz w:val="22"/>
          <w:szCs w:val="22"/>
          <w:color w:val="auto"/>
        </w:rPr>
        <w:t>. I agree to keep and maintain adequate and current records (in the form of notes, sketches, drawings and in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form that is required by Company) of all Confidential Information developed by me and all Company Inventions made by me during the period of my employment at Company, which records will be available to and remain the sole property of Employer at all times.</w:t>
      </w:r>
    </w:p>
    <w:p>
      <w:pPr>
        <w:spacing w:after="0" w:line="176" w:lineRule="exact"/>
        <w:rPr>
          <w:rFonts w:ascii="Arial" w:cs="Arial" w:eastAsia="Arial" w:hAnsi="Arial"/>
          <w:sz w:val="20"/>
          <w:szCs w:val="20"/>
          <w:b w:val="1"/>
          <w:bCs w:val="1"/>
          <w:color w:val="auto"/>
        </w:rPr>
      </w:pPr>
    </w:p>
    <w:p>
      <w:pPr>
        <w:jc w:val="both"/>
        <w:ind w:firstLine="8"/>
        <w:spacing w:after="0" w:line="262" w:lineRule="auto"/>
        <w:tabs>
          <w:tab w:leader="none" w:pos="409" w:val="left"/>
        </w:tabs>
        <w:numPr>
          <w:ilvl w:val="0"/>
          <w:numId w:val="100"/>
        </w:numPr>
        <w:rPr>
          <w:rFonts w:ascii="Arial" w:cs="Arial" w:eastAsia="Arial" w:hAnsi="Arial"/>
          <w:sz w:val="20"/>
          <w:szCs w:val="20"/>
          <w:b w:val="1"/>
          <w:bCs w:val="1"/>
          <w:color w:val="auto"/>
        </w:rPr>
      </w:pPr>
      <w:r>
        <w:rPr>
          <w:rFonts w:ascii="Arial" w:cs="Arial" w:eastAsia="Arial" w:hAnsi="Arial"/>
          <w:sz w:val="22"/>
          <w:szCs w:val="22"/>
          <w:b w:val="1"/>
          <w:bCs w:val="1"/>
          <w:color w:val="auto"/>
        </w:rPr>
        <w:t>Duty of Loyalty During Employment</w:t>
      </w:r>
      <w:r>
        <w:rPr>
          <w:rFonts w:ascii="Arial" w:cs="Arial" w:eastAsia="Arial" w:hAnsi="Arial"/>
          <w:sz w:val="22"/>
          <w:szCs w:val="22"/>
          <w:color w:val="auto"/>
        </w:rPr>
        <w:t>. I agree that during the period of my employment by Company, I will not,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express written consent, directly or indirectly engage in any employment or business activity which is directly or indirectly competitive with, or would otherwise conflict with, my employment by Company.</w:t>
      </w:r>
    </w:p>
    <w:p>
      <w:pPr>
        <w:spacing w:after="0" w:line="62" w:lineRule="exact"/>
        <w:rPr>
          <w:rFonts w:ascii="Arial" w:cs="Arial" w:eastAsia="Arial" w:hAnsi="Arial"/>
          <w:sz w:val="20"/>
          <w:szCs w:val="20"/>
          <w:b w:val="1"/>
          <w:bCs w:val="1"/>
          <w:color w:val="auto"/>
        </w:rPr>
      </w:pPr>
    </w:p>
    <w:p>
      <w:pPr>
        <w:jc w:val="both"/>
        <w:ind w:firstLine="8"/>
        <w:spacing w:after="0" w:line="265" w:lineRule="auto"/>
        <w:tabs>
          <w:tab w:leader="none" w:pos="342" w:val="left"/>
        </w:tabs>
        <w:numPr>
          <w:ilvl w:val="0"/>
          <w:numId w:val="100"/>
        </w:numPr>
        <w:rPr>
          <w:rFonts w:ascii="Arial" w:cs="Arial" w:eastAsia="Arial" w:hAnsi="Arial"/>
          <w:sz w:val="19"/>
          <w:szCs w:val="19"/>
          <w:b w:val="1"/>
          <w:bCs w:val="1"/>
          <w:color w:val="auto"/>
        </w:rPr>
      </w:pPr>
      <w:r>
        <w:rPr>
          <w:rFonts w:ascii="Arial" w:cs="Arial" w:eastAsia="Arial" w:hAnsi="Arial"/>
          <w:sz w:val="21"/>
          <w:szCs w:val="21"/>
          <w:b w:val="1"/>
          <w:bCs w:val="1"/>
          <w:color w:val="auto"/>
        </w:rPr>
        <w:t>No Solicitation of Employees, Consultants or Contractors</w:t>
      </w:r>
      <w:r>
        <w:rPr>
          <w:rFonts w:ascii="Arial" w:cs="Arial" w:eastAsia="Arial" w:hAnsi="Arial"/>
          <w:sz w:val="21"/>
          <w:szCs w:val="21"/>
          <w:color w:val="auto"/>
        </w:rPr>
        <w:t>. I agree that during the period of my employment and for the one</w:t>
      </w:r>
      <w:r>
        <w:rPr>
          <w:rFonts w:ascii="Arial" w:cs="Arial" w:eastAsia="Arial" w:hAnsi="Arial"/>
          <w:sz w:val="21"/>
          <w:szCs w:val="21"/>
          <w:b w:val="1"/>
          <w:bCs w:val="1"/>
          <w:color w:val="auto"/>
        </w:rPr>
        <w:t xml:space="preserve"> </w:t>
      </w:r>
      <w:r>
        <w:rPr>
          <w:rFonts w:ascii="Arial" w:cs="Arial" w:eastAsia="Arial" w:hAnsi="Arial"/>
          <w:sz w:val="21"/>
          <w:szCs w:val="21"/>
          <w:color w:val="auto"/>
        </w:rPr>
        <w:t>year period after the date my employment ends for any reason, including but not limited to voluntary termination by me or involuntary termination by Company, I will not, as an officer, director, employee, consultant, owner, partner, or in any other capacity, either directly or through others, except on behalf of Company, solicit, induce, encourage, or participate in soliciting, inducing or encouraging any person known to me to be an employee, consultant, or independent contractor of Company to terminate his or her relationship with Company, even if I did not initiate the discussion or seek out the contact.</w:t>
      </w:r>
    </w:p>
    <w:p>
      <w:pPr>
        <w:spacing w:after="0" w:line="61" w:lineRule="exact"/>
        <w:rPr>
          <w:rFonts w:ascii="Arial" w:cs="Arial" w:eastAsia="Arial" w:hAnsi="Arial"/>
          <w:sz w:val="19"/>
          <w:szCs w:val="19"/>
          <w:b w:val="1"/>
          <w:bCs w:val="1"/>
          <w:color w:val="auto"/>
        </w:rPr>
      </w:pPr>
    </w:p>
    <w:p>
      <w:pPr>
        <w:ind w:left="340" w:hanging="332"/>
        <w:spacing w:after="0"/>
        <w:tabs>
          <w:tab w:leader="none" w:pos="340" w:val="left"/>
        </w:tabs>
        <w:numPr>
          <w:ilvl w:val="0"/>
          <w:numId w:val="100"/>
        </w:numPr>
        <w:rPr>
          <w:rFonts w:ascii="Arial" w:cs="Arial" w:eastAsia="Arial" w:hAnsi="Arial"/>
          <w:sz w:val="20"/>
          <w:szCs w:val="20"/>
          <w:b w:val="1"/>
          <w:bCs w:val="1"/>
          <w:color w:val="auto"/>
        </w:rPr>
      </w:pPr>
      <w:r>
        <w:rPr>
          <w:rFonts w:ascii="Arial" w:cs="Arial" w:eastAsia="Arial" w:hAnsi="Arial"/>
          <w:sz w:val="22"/>
          <w:szCs w:val="22"/>
          <w:b w:val="1"/>
          <w:bCs w:val="1"/>
          <w:color w:val="auto"/>
        </w:rPr>
        <w:t>Reasonableness of Restrictions</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20"/>
          <w:szCs w:val="20"/>
          <w:color w:val="auto"/>
        </w:rPr>
        <w:t>I agree that I have read this entire Agreement and understand it. I agree that this Agreement does not prevent me from</w:t>
      </w:r>
      <w:r>
        <w:rPr>
          <w:rFonts w:ascii="Arial" w:cs="Arial" w:eastAsia="Arial" w:hAnsi="Arial"/>
          <w:sz w:val="19"/>
          <w:szCs w:val="19"/>
          <w:b w:val="1"/>
          <w:bCs w:val="1"/>
          <w:color w:val="auto"/>
        </w:rPr>
        <w:t xml:space="preserve"> </w:t>
      </w:r>
      <w:r>
        <w:rPr>
          <w:rFonts w:ascii="Arial" w:cs="Arial" w:eastAsia="Arial" w:hAnsi="Arial"/>
          <w:sz w:val="20"/>
          <w:szCs w:val="20"/>
          <w:color w:val="auto"/>
        </w:rPr>
        <w:t>earning a living or pursuing my career. I agree that the restrictions contained in this Agreement are reasonable, proper, and necessitated by Company’s legitimate business interests. I represent and agree that I am entering into this Agreement freely and with knowledge of its contents with the intent to be bound by the Agreement and the restrictions contained in it.</w:t>
      </w:r>
    </w:p>
    <w:p>
      <w:pPr>
        <w:spacing w:after="0" w:line="1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1"/>
          <w:szCs w:val="21"/>
          <w:color w:val="auto"/>
        </w:rPr>
        <w:t>In the event that a court finds this Agreement, or any of its restrictions, to be ambiguous, unenforceable, or invalid, I</w:t>
      </w:r>
      <w:r>
        <w:rPr>
          <w:rFonts w:ascii="Arial" w:cs="Arial" w:eastAsia="Arial" w:hAnsi="Arial"/>
          <w:sz w:val="20"/>
          <w:szCs w:val="20"/>
          <w:b w:val="1"/>
          <w:bCs w:val="1"/>
          <w:color w:val="auto"/>
        </w:rPr>
        <w:t xml:space="preserve"> </w:t>
      </w:r>
      <w:r>
        <w:rPr>
          <w:rFonts w:ascii="Arial" w:cs="Arial" w:eastAsia="Arial" w:hAnsi="Arial"/>
          <w:sz w:val="21"/>
          <w:szCs w:val="21"/>
          <w:color w:val="auto"/>
        </w:rPr>
        <w:t>and Company agree that the court will read the Agreement as a whole and interpret the restriction(s) at issue to be enforceable and valid to the maximum extent allowed by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75" w:right="239" w:bottom="1440" w:gutter="0" w:footer="0" w:header="0"/>
        </w:sectPr>
      </w:pPr>
    </w:p>
    <w:bookmarkStart w:id="100" w:name="page101"/>
    <w:bookmarkEnd w:id="100"/>
    <w:p>
      <w:pPr>
        <w:jc w:val="both"/>
        <w:ind w:firstLine="648"/>
        <w:spacing w:after="0" w:line="278" w:lineRule="auto"/>
        <w:rPr>
          <w:sz w:val="20"/>
          <w:szCs w:val="20"/>
          <w:color w:val="auto"/>
        </w:rPr>
      </w:pPr>
      <w:r>
        <w:rPr>
          <w:rFonts w:ascii="Arial" w:cs="Arial" w:eastAsia="Arial" w:hAnsi="Arial"/>
          <w:sz w:val="20"/>
          <w:szCs w:val="20"/>
          <w:b w:val="1"/>
          <w:bCs w:val="1"/>
          <w:color w:val="auto"/>
        </w:rPr>
        <w:t xml:space="preserve">6.3 </w:t>
      </w:r>
      <w:r>
        <w:rPr>
          <w:rFonts w:ascii="Arial" w:cs="Arial" w:eastAsia="Arial" w:hAnsi="Arial"/>
          <w:sz w:val="21"/>
          <w:szCs w:val="21"/>
          <w:color w:val="auto"/>
        </w:rPr>
        <w:t>If the court declines to enforce this Agreement in the manner provided in subsection 6.2 and/or Section 12.1,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and I agree that this Agreement will be automatically modified to provide Company with the maximum protection of its business interests allowed by law and I agree to be bound by this Agreement as modified.</w:t>
      </w:r>
    </w:p>
    <w:p>
      <w:pPr>
        <w:spacing w:after="0" w:line="154" w:lineRule="exact"/>
        <w:rPr>
          <w:sz w:val="20"/>
          <w:szCs w:val="20"/>
          <w:color w:val="auto"/>
        </w:rPr>
      </w:pPr>
    </w:p>
    <w:p>
      <w:pPr>
        <w:jc w:val="both"/>
        <w:ind w:firstLine="8"/>
        <w:spacing w:after="0" w:line="256" w:lineRule="auto"/>
        <w:tabs>
          <w:tab w:leader="none" w:pos="436" w:val="left"/>
        </w:tabs>
        <w:numPr>
          <w:ilvl w:val="0"/>
          <w:numId w:val="101"/>
        </w:numPr>
        <w:rPr>
          <w:rFonts w:ascii="Arial" w:cs="Arial" w:eastAsia="Arial" w:hAnsi="Arial"/>
          <w:sz w:val="20"/>
          <w:szCs w:val="20"/>
          <w:b w:val="1"/>
          <w:bCs w:val="1"/>
          <w:color w:val="auto"/>
        </w:rPr>
      </w:pPr>
      <w:r>
        <w:rPr>
          <w:rFonts w:ascii="Arial" w:cs="Arial" w:eastAsia="Arial" w:hAnsi="Arial"/>
          <w:sz w:val="22"/>
          <w:szCs w:val="22"/>
          <w:b w:val="1"/>
          <w:bCs w:val="1"/>
          <w:color w:val="auto"/>
        </w:rPr>
        <w:t>No Conflicting Agreement or Obligation</w:t>
      </w:r>
      <w:r>
        <w:rPr>
          <w:rFonts w:ascii="Arial" w:cs="Arial" w:eastAsia="Arial" w:hAnsi="Arial"/>
          <w:sz w:val="22"/>
          <w:szCs w:val="22"/>
          <w:color w:val="auto"/>
        </w:rPr>
        <w:t>. I represent that my performance of all the terms of this Agreement and as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Company does not and will not breach any agreement to keep in confidence information acquired by me in confidence or in trust prior to my employment by Company. I have not entered into, and I agree I will not enter into, any agreement either written or oral in conflict with this Agreement.</w:t>
      </w:r>
    </w:p>
    <w:p>
      <w:pPr>
        <w:spacing w:after="0" w:line="68" w:lineRule="exact"/>
        <w:rPr>
          <w:rFonts w:ascii="Arial" w:cs="Arial" w:eastAsia="Arial" w:hAnsi="Arial"/>
          <w:sz w:val="20"/>
          <w:szCs w:val="20"/>
          <w:b w:val="1"/>
          <w:bCs w:val="1"/>
          <w:color w:val="auto"/>
        </w:rPr>
      </w:pPr>
    </w:p>
    <w:p>
      <w:pPr>
        <w:jc w:val="both"/>
        <w:ind w:firstLine="8"/>
        <w:spacing w:after="0" w:line="259" w:lineRule="auto"/>
        <w:tabs>
          <w:tab w:leader="none" w:pos="342" w:val="left"/>
        </w:tabs>
        <w:numPr>
          <w:ilvl w:val="0"/>
          <w:numId w:val="101"/>
        </w:numPr>
        <w:rPr>
          <w:rFonts w:ascii="Arial" w:cs="Arial" w:eastAsia="Arial" w:hAnsi="Arial"/>
          <w:sz w:val="19"/>
          <w:szCs w:val="19"/>
          <w:b w:val="1"/>
          <w:bCs w:val="1"/>
          <w:color w:val="auto"/>
        </w:rPr>
      </w:pPr>
      <w:r>
        <w:rPr>
          <w:rFonts w:ascii="Arial" w:cs="Arial" w:eastAsia="Arial" w:hAnsi="Arial"/>
          <w:sz w:val="21"/>
          <w:szCs w:val="21"/>
          <w:b w:val="1"/>
          <w:bCs w:val="1"/>
          <w:color w:val="auto"/>
        </w:rPr>
        <w:t>Return of Company Property</w:t>
      </w:r>
      <w:r>
        <w:rPr>
          <w:rFonts w:ascii="Arial" w:cs="Arial" w:eastAsia="Arial" w:hAnsi="Arial"/>
          <w:sz w:val="21"/>
          <w:szCs w:val="21"/>
          <w:color w:val="auto"/>
        </w:rPr>
        <w:t>. When I leave the employ of Company, I will deliver to Employer any and all drawings, notes,</w:t>
      </w:r>
      <w:r>
        <w:rPr>
          <w:rFonts w:ascii="Arial" w:cs="Arial" w:eastAsia="Arial" w:hAnsi="Arial"/>
          <w:sz w:val="21"/>
          <w:szCs w:val="21"/>
          <w:b w:val="1"/>
          <w:bCs w:val="1"/>
          <w:color w:val="auto"/>
        </w:rPr>
        <w:t xml:space="preserve"> </w:t>
      </w:r>
      <w:r>
        <w:rPr>
          <w:rFonts w:ascii="Arial" w:cs="Arial" w:eastAsia="Arial" w:hAnsi="Arial"/>
          <w:sz w:val="21"/>
          <w:szCs w:val="21"/>
          <w:color w:val="auto"/>
        </w:rPr>
        <w:t>memoranda, specifications, devices, formulas and documents, together with all copies thereof, and any other material containing or disclosing any Company Inventions, Third Party Information or Confidential Information.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Company with a computer-useable copy of all such information and then permanently delete and expunge such information from those systems; and I agree to provide Company access to my system as reasonably requested to verify that the necessary copying and/or deletion is completed. I further agree that any property situated on Company’s premises and owned by Company, including disks and other storage media, filing cabinets or other work areas, is subject to inspection by Company’s personnel at any time with or without notice. Prior to leaving, I will cooperate with Company in attending an exit interview and completing and signing Company’s termination statement if required to do so by Company.</w:t>
      </w:r>
    </w:p>
    <w:p>
      <w:pPr>
        <w:spacing w:after="0" w:line="73" w:lineRule="exact"/>
        <w:rPr>
          <w:rFonts w:ascii="Arial" w:cs="Arial" w:eastAsia="Arial" w:hAnsi="Arial"/>
          <w:sz w:val="19"/>
          <w:szCs w:val="19"/>
          <w:b w:val="1"/>
          <w:bCs w:val="1"/>
          <w:color w:val="auto"/>
        </w:rPr>
      </w:pPr>
    </w:p>
    <w:p>
      <w:pPr>
        <w:ind w:left="340" w:hanging="332"/>
        <w:spacing w:after="0"/>
        <w:tabs>
          <w:tab w:leader="none" w:pos="340" w:val="left"/>
        </w:tabs>
        <w:numPr>
          <w:ilvl w:val="0"/>
          <w:numId w:val="101"/>
        </w:numPr>
        <w:rPr>
          <w:rFonts w:ascii="Arial" w:cs="Arial" w:eastAsia="Arial" w:hAnsi="Arial"/>
          <w:sz w:val="20"/>
          <w:szCs w:val="20"/>
          <w:b w:val="1"/>
          <w:bCs w:val="1"/>
          <w:color w:val="auto"/>
        </w:rPr>
      </w:pPr>
      <w:r>
        <w:rPr>
          <w:rFonts w:ascii="Arial" w:cs="Arial" w:eastAsia="Arial" w:hAnsi="Arial"/>
          <w:sz w:val="22"/>
          <w:szCs w:val="22"/>
          <w:b w:val="1"/>
          <w:bCs w:val="1"/>
          <w:color w:val="auto"/>
        </w:rPr>
        <w:t>Legal and Equitable Remedies</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1"/>
          <w:szCs w:val="21"/>
          <w:color w:val="auto"/>
        </w:rPr>
        <w:t>I agree that it may be impossible to assess the damages caused by my violation of this Agreement or any of its terms. I</w:t>
      </w:r>
      <w:r>
        <w:rPr>
          <w:rFonts w:ascii="Arial" w:cs="Arial" w:eastAsia="Arial" w:hAnsi="Arial"/>
          <w:sz w:val="20"/>
          <w:szCs w:val="20"/>
          <w:b w:val="1"/>
          <w:bCs w:val="1"/>
          <w:color w:val="auto"/>
        </w:rPr>
        <w:t xml:space="preserve"> </w:t>
      </w:r>
      <w:r>
        <w:rPr>
          <w:rFonts w:ascii="Arial" w:cs="Arial" w:eastAsia="Arial" w:hAnsi="Arial"/>
          <w:sz w:val="21"/>
          <w:szCs w:val="21"/>
          <w:color w:val="auto"/>
        </w:rPr>
        <w:t>agree that any threatened or actual violation of this Agreement or any of its terms will constitute immediate and irreparable injury to Company, and Company will have the right to enforce this Agreement and any of its provisions by injunction, specific performance or other equitable relief, without bond and without prejudice to any other rights and remedies that Company may have for a breach or threatened breach of this Agreement.</w:t>
      </w:r>
    </w:p>
    <w:p>
      <w:pPr>
        <w:spacing w:after="0" w:line="1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0"/>
          <w:szCs w:val="20"/>
          <w:b w:val="1"/>
          <w:bCs w:val="1"/>
          <w:color w:val="auto"/>
        </w:rPr>
        <w:t xml:space="preserve">9.2 </w:t>
      </w:r>
      <w:r>
        <w:rPr>
          <w:rFonts w:ascii="Arial" w:cs="Arial" w:eastAsia="Arial" w:hAnsi="Arial"/>
          <w:sz w:val="21"/>
          <w:szCs w:val="21"/>
          <w:color w:val="auto"/>
        </w:rPr>
        <w:t>In the event Company enforces this Agreement through a court order, I agree that the restrictions of Section 5 will</w:t>
      </w:r>
      <w:r>
        <w:rPr>
          <w:rFonts w:ascii="Arial" w:cs="Arial" w:eastAsia="Arial" w:hAnsi="Arial"/>
          <w:sz w:val="20"/>
          <w:szCs w:val="20"/>
          <w:b w:val="1"/>
          <w:bCs w:val="1"/>
          <w:color w:val="auto"/>
        </w:rPr>
        <w:t xml:space="preserve"> </w:t>
      </w:r>
      <w:r>
        <w:rPr>
          <w:rFonts w:ascii="Arial" w:cs="Arial" w:eastAsia="Arial" w:hAnsi="Arial"/>
          <w:sz w:val="21"/>
          <w:szCs w:val="21"/>
          <w:color w:val="auto"/>
        </w:rPr>
        <w:t>remain in effect for a period of 12 months from the effective date of the Order enforcing the Agreement.</w:t>
      </w:r>
    </w:p>
    <w:p>
      <w:pPr>
        <w:spacing w:after="0" w:line="131" w:lineRule="exact"/>
        <w:rPr>
          <w:sz w:val="20"/>
          <w:szCs w:val="20"/>
          <w:color w:val="auto"/>
        </w:rPr>
      </w:pPr>
    </w:p>
    <w:p>
      <w:pPr>
        <w:jc w:val="both"/>
        <w:ind w:firstLine="8"/>
        <w:spacing w:after="0" w:line="298" w:lineRule="auto"/>
        <w:tabs>
          <w:tab w:leader="none" w:pos="441" w:val="left"/>
        </w:tabs>
        <w:numPr>
          <w:ilvl w:val="0"/>
          <w:numId w:val="102"/>
        </w:numPr>
        <w:rPr>
          <w:rFonts w:ascii="Arial" w:cs="Arial" w:eastAsia="Arial" w:hAnsi="Arial"/>
          <w:sz w:val="18"/>
          <w:szCs w:val="18"/>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notices required or permitted under this Agreement will be given to Company at its headquarters location at the</w:t>
      </w:r>
      <w:r>
        <w:rPr>
          <w:rFonts w:ascii="Arial" w:cs="Arial" w:eastAsia="Arial" w:hAnsi="Arial"/>
          <w:sz w:val="19"/>
          <w:szCs w:val="19"/>
          <w:b w:val="1"/>
          <w:bCs w:val="1"/>
          <w:color w:val="auto"/>
        </w:rPr>
        <w:t xml:space="preserve"> </w:t>
      </w:r>
      <w:r>
        <w:rPr>
          <w:rFonts w:ascii="Arial" w:cs="Arial" w:eastAsia="Arial" w:hAnsi="Arial"/>
          <w:sz w:val="19"/>
          <w:szCs w:val="19"/>
          <w:color w:val="auto"/>
        </w:rPr>
        <w:t>time notice is given, labeled “Attention Chief Executive Officer,” and to me at my address as listed on Company payroll, or at such other address as Company or I may designate by written notice to the other. Notice will be effective upon receipt or refusal of delivery. If delivered by certified or registered mail, notice will be considered to have been given five business days after it was mailed, as evidenced by the postmark. If delivered by courier or express mail service, notice will be considered to have been given on the delivery date reflected by the courier or express mail service receipt.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75" w:right="239" w:bottom="1440" w:gutter="0" w:footer="0" w:header="0"/>
        </w:sectPr>
      </w:pPr>
    </w:p>
    <w:bookmarkStart w:id="101" w:name="page102"/>
    <w:bookmarkEnd w:id="101"/>
    <w:p>
      <w:pPr>
        <w:ind w:left="420" w:hanging="412"/>
        <w:spacing w:after="0"/>
        <w:tabs>
          <w:tab w:leader="none" w:pos="420" w:val="left"/>
        </w:tabs>
        <w:numPr>
          <w:ilvl w:val="0"/>
          <w:numId w:val="103"/>
        </w:numPr>
        <w:rPr>
          <w:rFonts w:ascii="Arial" w:cs="Arial" w:eastAsia="Arial" w:hAnsi="Arial"/>
          <w:sz w:val="20"/>
          <w:szCs w:val="20"/>
          <w:b w:val="1"/>
          <w:bCs w:val="1"/>
          <w:color w:val="auto"/>
        </w:rPr>
      </w:pPr>
      <w:r>
        <w:rPr>
          <w:rFonts w:ascii="Arial" w:cs="Arial" w:eastAsia="Arial" w:hAnsi="Arial"/>
          <w:sz w:val="22"/>
          <w:szCs w:val="22"/>
          <w:b w:val="1"/>
          <w:bCs w:val="1"/>
          <w:color w:val="auto"/>
        </w:rPr>
        <w:t>Publication of This Agreement to Subsequent Employer or Business Associates of Employee</w:t>
      </w:r>
      <w:r>
        <w:rPr>
          <w:rFonts w:ascii="Arial" w:cs="Arial" w:eastAsia="Arial" w:hAnsi="Arial"/>
          <w:sz w:val="22"/>
          <w:szCs w:val="22"/>
          <w:color w:val="auto"/>
        </w:rPr>
        <w:t>.</w:t>
      </w:r>
    </w:p>
    <w:p>
      <w:pPr>
        <w:spacing w:after="0" w:line="1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20"/>
          <w:szCs w:val="20"/>
          <w:color w:val="auto"/>
        </w:rPr>
        <w:t>If I am offered employment or the opportunity to enter into any business venture as owner, partner, consultant or other</w:t>
      </w:r>
      <w:r>
        <w:rPr>
          <w:rFonts w:ascii="Arial" w:cs="Arial" w:eastAsia="Arial" w:hAnsi="Arial"/>
          <w:sz w:val="19"/>
          <w:szCs w:val="19"/>
          <w:b w:val="1"/>
          <w:bCs w:val="1"/>
          <w:color w:val="auto"/>
        </w:rPr>
        <w:t xml:space="preserve"> </w:t>
      </w:r>
      <w:r>
        <w:rPr>
          <w:rFonts w:ascii="Arial" w:cs="Arial" w:eastAsia="Arial" w:hAnsi="Arial"/>
          <w:sz w:val="20"/>
          <w:szCs w:val="20"/>
          <w:color w:val="auto"/>
        </w:rPr>
        <w:t>capacity while the restrictions described in Sections 4 and 5 of this Agreement are in effect I agree to inform my potential employer, partner, co-owner and/or others involved in managing the business with which I have an opportunity to be associated of my obligations under this Agreement and also agree to provide such person or persons with a copy of this Agreement.</w:t>
      </w:r>
    </w:p>
    <w:p>
      <w:pPr>
        <w:spacing w:after="0" w:line="1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20"/>
          <w:szCs w:val="20"/>
          <w:b w:val="1"/>
          <w:bCs w:val="1"/>
          <w:color w:val="auto"/>
        </w:rPr>
        <w:t xml:space="preserve">11.2 </w:t>
      </w:r>
      <w:r>
        <w:rPr>
          <w:rFonts w:ascii="Arial" w:cs="Arial" w:eastAsia="Arial" w:hAnsi="Arial"/>
          <w:sz w:val="21"/>
          <w:szCs w:val="21"/>
          <w:color w:val="auto"/>
        </w:rPr>
        <w:t>I agree to inform Company of all employment and business ventures which I enter into while the restrictions described in</w:t>
      </w:r>
      <w:r>
        <w:rPr>
          <w:rFonts w:ascii="Arial" w:cs="Arial" w:eastAsia="Arial" w:hAnsi="Arial"/>
          <w:sz w:val="20"/>
          <w:szCs w:val="20"/>
          <w:b w:val="1"/>
          <w:bCs w:val="1"/>
          <w:color w:val="auto"/>
        </w:rPr>
        <w:t xml:space="preserve"> </w:t>
      </w:r>
      <w:r>
        <w:rPr>
          <w:rFonts w:ascii="Arial" w:cs="Arial" w:eastAsia="Arial" w:hAnsi="Arial"/>
          <w:sz w:val="21"/>
          <w:szCs w:val="21"/>
          <w:color w:val="auto"/>
        </w:rPr>
        <w:t>Section 5 of this Agreement are in effect and I also authorize Company to provide copies of this Agreement to my employer, partner, co-owner and/or others involved in managing the business with which I am employed or associated and to make such persons aware of my obligations under this Agreement.</w:t>
      </w:r>
    </w:p>
    <w:p>
      <w:pPr>
        <w:spacing w:after="0" w:line="163" w:lineRule="exact"/>
        <w:rPr>
          <w:sz w:val="20"/>
          <w:szCs w:val="20"/>
          <w:color w:val="auto"/>
        </w:rPr>
      </w:pPr>
    </w:p>
    <w:p>
      <w:pPr>
        <w:ind w:left="440" w:hanging="432"/>
        <w:spacing w:after="0"/>
        <w:tabs>
          <w:tab w:leader="none" w:pos="440" w:val="left"/>
        </w:tabs>
        <w:numPr>
          <w:ilvl w:val="0"/>
          <w:numId w:val="104"/>
        </w:numPr>
        <w:rPr>
          <w:rFonts w:ascii="Arial" w:cs="Arial" w:eastAsia="Arial" w:hAnsi="Arial"/>
          <w:sz w:val="20"/>
          <w:szCs w:val="20"/>
          <w:b w:val="1"/>
          <w:bCs w:val="1"/>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12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20"/>
          <w:szCs w:val="20"/>
          <w:b w:val="1"/>
          <w:bCs w:val="1"/>
          <w:color w:val="auto"/>
        </w:rPr>
        <w:t>Governing Law; Consent to Personal Jurisdiction</w:t>
      </w:r>
      <w:r>
        <w:rPr>
          <w:rFonts w:ascii="Arial" w:cs="Arial" w:eastAsia="Arial" w:hAnsi="Arial"/>
          <w:sz w:val="20"/>
          <w:szCs w:val="20"/>
          <w:color w:val="auto"/>
        </w:rPr>
        <w:t>. This Agreement will be governed by and construed according to</w:t>
      </w:r>
      <w:r>
        <w:rPr>
          <w:rFonts w:ascii="Arial" w:cs="Arial" w:eastAsia="Arial" w:hAnsi="Arial"/>
          <w:sz w:val="19"/>
          <w:szCs w:val="19"/>
          <w:b w:val="1"/>
          <w:bCs w:val="1"/>
          <w:color w:val="auto"/>
        </w:rPr>
        <w:t xml:space="preserve"> </w:t>
      </w:r>
      <w:r>
        <w:rPr>
          <w:rFonts w:ascii="Arial" w:cs="Arial" w:eastAsia="Arial" w:hAnsi="Arial"/>
          <w:sz w:val="20"/>
          <w:szCs w:val="20"/>
          <w:color w:val="auto"/>
        </w:rPr>
        <w:t>the laws of the State of California without regard to any conflict of laws principles that would require the application of the laws of a different jurisdiction. I hereby expressly consent to the personal jurisdiction and venue of the state and federal courts located in California for any lawsuit filed there against me by Company arising from or related to this Agreement.</w:t>
      </w:r>
    </w:p>
    <w:p>
      <w:pPr>
        <w:spacing w:after="0" w:line="3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9"/>
          <w:szCs w:val="19"/>
          <w:b w:val="1"/>
          <w:bCs w:val="1"/>
          <w:color w:val="auto"/>
        </w:rPr>
        <w:t>Severability</w:t>
      </w:r>
      <w:r>
        <w:rPr>
          <w:rFonts w:ascii="Arial" w:cs="Arial" w:eastAsia="Arial" w:hAnsi="Arial"/>
          <w:sz w:val="19"/>
          <w:szCs w:val="19"/>
          <w:color w:val="auto"/>
        </w:rPr>
        <w:t>. In case any one or more of the provisions, subsections, or sentences contained in this Agreement will,</w:t>
      </w:r>
      <w:r>
        <w:rPr>
          <w:rFonts w:ascii="Arial" w:cs="Arial" w:eastAsia="Arial" w:hAnsi="Arial"/>
          <w:sz w:val="18"/>
          <w:szCs w:val="18"/>
          <w:b w:val="1"/>
          <w:bCs w:val="1"/>
          <w:color w:val="auto"/>
        </w:rPr>
        <w:t xml:space="preserve"> </w:t>
      </w:r>
      <w:r>
        <w:rPr>
          <w:rFonts w:ascii="Arial" w:cs="Arial" w:eastAsia="Arial" w:hAnsi="Arial"/>
          <w:sz w:val="19"/>
          <w:szCs w:val="19"/>
          <w:color w:val="auto"/>
        </w:rPr>
        <w:t>for any reason, be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moreover, any one or more of the provisions contained in this Agreement will for any reason be held to be excessively broad as to duration, geographical scope, activity or subject, it will be construed by limiting and reducing it, so as to be enforceable to the extent compatible with the applicable law as it will then appear.</w:t>
      </w:r>
    </w:p>
    <w:p>
      <w:pPr>
        <w:spacing w:after="0" w:line="141"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1"/>
          <w:szCs w:val="21"/>
          <w:b w:val="1"/>
          <w:bCs w:val="1"/>
          <w:color w:val="auto"/>
        </w:rPr>
        <w:t>Successors and Assigns</w:t>
      </w:r>
      <w:r>
        <w:rPr>
          <w:rFonts w:ascii="Arial" w:cs="Arial" w:eastAsia="Arial" w:hAnsi="Arial"/>
          <w:sz w:val="21"/>
          <w:szCs w:val="21"/>
          <w:color w:val="auto"/>
        </w:rPr>
        <w:t>. This Agreement is for my benefit and the benefit of Company and its and their successors,</w:t>
      </w:r>
      <w:r>
        <w:rPr>
          <w:rFonts w:ascii="Arial" w:cs="Arial" w:eastAsia="Arial" w:hAnsi="Arial"/>
          <w:sz w:val="20"/>
          <w:szCs w:val="20"/>
          <w:b w:val="1"/>
          <w:bCs w:val="1"/>
          <w:color w:val="auto"/>
        </w:rPr>
        <w:t xml:space="preserve"> </w:t>
      </w:r>
      <w:r>
        <w:rPr>
          <w:rFonts w:ascii="Arial" w:cs="Arial" w:eastAsia="Arial" w:hAnsi="Arial"/>
          <w:sz w:val="21"/>
          <w:szCs w:val="21"/>
          <w:color w:val="auto"/>
        </w:rPr>
        <w:t>assigns, parent corporations, subsidiaries, affiliates, and purchasers, and will be binding upon my heirs, executors, administrators and other legal representatives.</w:t>
      </w:r>
    </w:p>
    <w:p>
      <w:pPr>
        <w:spacing w:after="0" w:line="43"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1"/>
          <w:szCs w:val="21"/>
          <w:b w:val="1"/>
          <w:bCs w:val="1"/>
          <w:color w:val="auto"/>
        </w:rPr>
        <w:t>Survival</w:t>
      </w:r>
      <w:r>
        <w:rPr>
          <w:rFonts w:ascii="Arial" w:cs="Arial" w:eastAsia="Arial" w:hAnsi="Arial"/>
          <w:sz w:val="21"/>
          <w:szCs w:val="21"/>
          <w:color w:val="auto"/>
        </w:rPr>
        <w:t>. This Agreement will survive the termination of my employment, regardless of the reason, and the assignment</w:t>
      </w:r>
      <w:r>
        <w:rPr>
          <w:rFonts w:ascii="Arial" w:cs="Arial" w:eastAsia="Arial" w:hAnsi="Arial"/>
          <w:sz w:val="20"/>
          <w:szCs w:val="20"/>
          <w:b w:val="1"/>
          <w:bCs w:val="1"/>
          <w:color w:val="auto"/>
        </w:rPr>
        <w:t xml:space="preserve"> </w:t>
      </w:r>
      <w:r>
        <w:rPr>
          <w:rFonts w:ascii="Arial" w:cs="Arial" w:eastAsia="Arial" w:hAnsi="Arial"/>
          <w:sz w:val="21"/>
          <w:szCs w:val="21"/>
          <w:color w:val="auto"/>
        </w:rPr>
        <w:t>of this Agreement by Company to any successor in interest or other assignee.</w:t>
      </w:r>
    </w:p>
    <w:p>
      <w:pPr>
        <w:spacing w:after="0" w:line="1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12.4 </w:t>
      </w:r>
      <w:r>
        <w:rPr>
          <w:rFonts w:ascii="Arial" w:cs="Arial" w:eastAsia="Arial" w:hAnsi="Arial"/>
          <w:sz w:val="21"/>
          <w:szCs w:val="21"/>
          <w:b w:val="1"/>
          <w:bCs w:val="1"/>
          <w:color w:val="auto"/>
        </w:rPr>
        <w:t>Employment At-Will</w:t>
      </w:r>
      <w:r>
        <w:rPr>
          <w:rFonts w:ascii="Arial" w:cs="Arial" w:eastAsia="Arial" w:hAnsi="Arial"/>
          <w:sz w:val="21"/>
          <w:szCs w:val="21"/>
          <w:color w:val="auto"/>
        </w:rPr>
        <w:t>. I agree and understand that nothing in this Agreement will change my at-will employment status</w:t>
      </w:r>
      <w:r>
        <w:rPr>
          <w:rFonts w:ascii="Arial" w:cs="Arial" w:eastAsia="Arial" w:hAnsi="Arial"/>
          <w:sz w:val="20"/>
          <w:szCs w:val="20"/>
          <w:b w:val="1"/>
          <w:bCs w:val="1"/>
          <w:color w:val="auto"/>
        </w:rPr>
        <w:t xml:space="preserve"> </w:t>
      </w:r>
      <w:r>
        <w:rPr>
          <w:rFonts w:ascii="Arial" w:cs="Arial" w:eastAsia="Arial" w:hAnsi="Arial"/>
          <w:sz w:val="21"/>
          <w:szCs w:val="21"/>
          <w:color w:val="auto"/>
        </w:rPr>
        <w:t>or confer any right with respect to continuation of employment by Company, nor will it interfere in any way with my right or Company’s right to terminate my employment at any time, with or without cause or advance notice.</w:t>
      </w:r>
    </w:p>
    <w:p>
      <w:pPr>
        <w:spacing w:after="0" w:line="43"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12.5 </w:t>
      </w:r>
      <w:r>
        <w:rPr>
          <w:rFonts w:ascii="Arial" w:cs="Arial" w:eastAsia="Arial" w:hAnsi="Arial"/>
          <w:sz w:val="21"/>
          <w:szCs w:val="21"/>
          <w:b w:val="1"/>
          <w:bCs w:val="1"/>
          <w:color w:val="auto"/>
        </w:rPr>
        <w:t>Waiver</w:t>
      </w:r>
      <w:r>
        <w:rPr>
          <w:rFonts w:ascii="Arial" w:cs="Arial" w:eastAsia="Arial" w:hAnsi="Arial"/>
          <w:sz w:val="21"/>
          <w:szCs w:val="21"/>
          <w:color w:val="auto"/>
        </w:rPr>
        <w:t>. No waiver by Company of any breach of this Agreement will be a waiver of any preceding or succeeding</w:t>
      </w:r>
      <w:r>
        <w:rPr>
          <w:rFonts w:ascii="Arial" w:cs="Arial" w:eastAsia="Arial" w:hAnsi="Arial"/>
          <w:sz w:val="20"/>
          <w:szCs w:val="20"/>
          <w:b w:val="1"/>
          <w:bCs w:val="1"/>
          <w:color w:val="auto"/>
        </w:rPr>
        <w:t xml:space="preserve"> </w:t>
      </w:r>
      <w:r>
        <w:rPr>
          <w:rFonts w:ascii="Arial" w:cs="Arial" w:eastAsia="Arial" w:hAnsi="Arial"/>
          <w:sz w:val="21"/>
          <w:szCs w:val="21"/>
          <w:color w:val="auto"/>
        </w:rPr>
        <w:t>breach. No waiver by Company of any right under this Agreement will be construed as a waiver of any other right. Company will not be required to give notice to enforce strict adherence to all terms of this Agreement.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369" w:right="239" w:bottom="1440" w:gutter="0" w:footer="0" w:header="0"/>
        </w:sectPr>
      </w:pPr>
    </w:p>
    <w:bookmarkStart w:id="102" w:name="page103"/>
    <w:bookmarkEnd w:id="102"/>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12.6 </w:t>
      </w:r>
      <w:r>
        <w:rPr>
          <w:rFonts w:ascii="Arial" w:cs="Arial" w:eastAsia="Arial" w:hAnsi="Arial"/>
          <w:sz w:val="21"/>
          <w:szCs w:val="21"/>
          <w:b w:val="1"/>
          <w:bCs w:val="1"/>
          <w:color w:val="auto"/>
        </w:rPr>
        <w:t>Export</w:t>
      </w:r>
      <w:r>
        <w:rPr>
          <w:rFonts w:ascii="Arial" w:cs="Arial" w:eastAsia="Arial" w:hAnsi="Arial"/>
          <w:sz w:val="21"/>
          <w:szCs w:val="21"/>
          <w:color w:val="auto"/>
        </w:rPr>
        <w:t>. I agree not to export, reexport, or transfer, directly or indirectly, any U.S. technical data acquired from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or any products utilizing such data, in violation of the United States export laws or regulations.</w:t>
      </w:r>
    </w:p>
    <w:p>
      <w:pPr>
        <w:spacing w:after="0" w:line="17"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12.7 </w:t>
      </w: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executed in two or more counterparts, each of which will be deemed an original,</w:t>
      </w:r>
      <w:r>
        <w:rPr>
          <w:rFonts w:ascii="Arial" w:cs="Arial" w:eastAsia="Arial" w:hAnsi="Arial"/>
          <w:sz w:val="20"/>
          <w:szCs w:val="20"/>
          <w:b w:val="1"/>
          <w:bCs w:val="1"/>
          <w:color w:val="auto"/>
        </w:rPr>
        <w:t xml:space="preserve"> </w:t>
      </w:r>
      <w:r>
        <w:rPr>
          <w:rFonts w:ascii="Arial" w:cs="Arial" w:eastAsia="Arial" w:hAnsi="Arial"/>
          <w:sz w:val="21"/>
          <w:szCs w:val="21"/>
          <w:color w:val="auto"/>
        </w:rPr>
        <w:t>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20"/>
          <w:szCs w:val="20"/>
          <w:b w:val="1"/>
          <w:bCs w:val="1"/>
          <w:color w:val="auto"/>
        </w:rPr>
        <w:t xml:space="preserve">12.8 </w:t>
      </w:r>
      <w:r>
        <w:rPr>
          <w:rFonts w:ascii="Arial" w:cs="Arial" w:eastAsia="Arial" w:hAnsi="Arial"/>
          <w:sz w:val="21"/>
          <w:szCs w:val="21"/>
          <w:b w:val="1"/>
          <w:bCs w:val="1"/>
          <w:color w:val="auto"/>
        </w:rPr>
        <w:t>Advice of Counsel. I ACKNOWLEDGE THAT, IN EXECUTING THIS AGREEMENT, I HAVE HAD THE</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OPPORTUNITY TO SEEK THE ADVICE OF INDEPENDENT LEGAL COUNSEL, AND I HAVE READ AND UNDERSTOOD ALL OF THE TERMS AND PROVISIONS OF THIS AGREEMENT. THIS AGREEMENT WILL NOT BE CONSTRUED AGAINST ANY PARTY BY REASON OF THE DRAFTING OR PREPARATION OF THIS AGREEMENT.</w:t>
      </w:r>
    </w:p>
    <w:p>
      <w:pPr>
        <w:spacing w:after="0" w:line="200" w:lineRule="exact"/>
        <w:rPr>
          <w:sz w:val="20"/>
          <w:szCs w:val="20"/>
          <w:color w:val="auto"/>
        </w:rPr>
      </w:pPr>
    </w:p>
    <w:p>
      <w:pPr>
        <w:spacing w:after="0" w:line="230"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20"/>
          <w:szCs w:val="20"/>
          <w:b w:val="1"/>
          <w:bCs w:val="1"/>
          <w:color w:val="auto"/>
        </w:rPr>
        <w:t xml:space="preserve">12.9 </w:t>
      </w:r>
      <w:r>
        <w:rPr>
          <w:rFonts w:ascii="Arial" w:cs="Arial" w:eastAsia="Arial" w:hAnsi="Arial"/>
          <w:sz w:val="21"/>
          <w:szCs w:val="21"/>
          <w:b w:val="1"/>
          <w:bCs w:val="1"/>
          <w:color w:val="auto"/>
        </w:rPr>
        <w:t>Entire Agreement</w:t>
      </w:r>
      <w:r>
        <w:rPr>
          <w:rFonts w:ascii="Arial" w:cs="Arial" w:eastAsia="Arial" w:hAnsi="Arial"/>
          <w:sz w:val="21"/>
          <w:szCs w:val="21"/>
          <w:color w:val="auto"/>
        </w:rPr>
        <w:t>. The obligations pursuant to Sections 1 and 2 (except Subsection 2.4 and Subsection 2.7(a)) of this</w:t>
      </w:r>
      <w:r>
        <w:rPr>
          <w:rFonts w:ascii="Arial" w:cs="Arial" w:eastAsia="Arial" w:hAnsi="Arial"/>
          <w:sz w:val="20"/>
          <w:szCs w:val="20"/>
          <w:b w:val="1"/>
          <w:bCs w:val="1"/>
          <w:color w:val="auto"/>
        </w:rPr>
        <w:t xml:space="preserve"> </w:t>
      </w:r>
      <w:r>
        <w:rPr>
          <w:rFonts w:ascii="Arial" w:cs="Arial" w:eastAsia="Arial" w:hAnsi="Arial"/>
          <w:sz w:val="21"/>
          <w:szCs w:val="21"/>
          <w:color w:val="auto"/>
        </w:rPr>
        <w:t>Agreement will apply to any time during which I was previously engaged, or am in the future engaged, by Company as a consultant if no other agreement governs nondisclosure and assignment of inventions during such period. This Agreement is the final, complete and exclusive agreement of the parties with respect to the subject matter of this Agreement and supersedes and merges all prior discussions between us. No modification of or amendment to this Agreement will be effective unless in writing and signed by the party to be charged. Any subsequent change or changes in my duties, salary or compensation will not affect the validity or scope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[signatures to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Agreement will be effective as of </w:t>
      </w:r>
      <w:r>
        <w:rPr>
          <w:rFonts w:ascii="Arial" w:cs="Arial" w:eastAsia="Arial" w:hAnsi="Arial"/>
          <w:sz w:val="22"/>
          <w:szCs w:val="22"/>
          <w:b w:val="1"/>
          <w:bCs w:val="1"/>
          <w:color w:val="auto"/>
        </w:rPr>
        <w:t>April 17, 2019</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w:t>
      </w:r>
    </w:p>
    <w:p>
      <w:pPr>
        <w:spacing w:after="0" w:line="346" w:lineRule="exact"/>
        <w:rPr>
          <w:sz w:val="20"/>
          <w:szCs w:val="20"/>
          <w:color w:val="auto"/>
        </w:rPr>
      </w:pPr>
    </w:p>
    <w:p>
      <w:pPr>
        <w:ind w:left="120" w:right="2280"/>
        <w:spacing w:after="0" w:line="267" w:lineRule="auto"/>
        <w:rPr>
          <w:sz w:val="20"/>
          <w:szCs w:val="20"/>
          <w:color w:val="auto"/>
        </w:rPr>
      </w:pPr>
      <w:r>
        <w:rPr>
          <w:rFonts w:ascii="Arial" w:cs="Arial" w:eastAsia="Arial" w:hAnsi="Arial"/>
          <w:sz w:val="20"/>
          <w:szCs w:val="20"/>
          <w:b w:val="1"/>
          <w:bCs w:val="1"/>
          <w:color w:val="auto"/>
        </w:rPr>
        <w:t>I have read this agreement carefully and understand its terms. I have completely filled out Exhibit A to this Agreement.</w:t>
      </w: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 Daniel G.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jc w:val="center"/>
        <w:ind w:right="2060"/>
        <w:spacing w:after="0"/>
        <w:rPr>
          <w:sz w:val="20"/>
          <w:szCs w:val="20"/>
          <w:color w:val="auto"/>
        </w:rPr>
      </w:pPr>
      <w:r>
        <w:rPr>
          <w:rFonts w:ascii="Arial" w:cs="Arial" w:eastAsia="Arial" w:hAnsi="Arial"/>
          <w:sz w:val="22"/>
          <w:szCs w:val="22"/>
          <w:color w:val="auto"/>
        </w:rPr>
        <w:t>Daniel G.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jc w:val="center"/>
        <w:ind w:right="2060"/>
        <w:spacing w:after="0"/>
        <w:rPr>
          <w:sz w:val="20"/>
          <w:szCs w:val="20"/>
          <w:color w:val="auto"/>
        </w:rPr>
      </w:pPr>
      <w:r>
        <w:rPr>
          <w:rFonts w:ascii="Arial" w:cs="Arial" w:eastAsia="Arial" w:hAnsi="Arial"/>
          <w:sz w:val="22"/>
          <w:szCs w:val="22"/>
          <w:color w:val="auto"/>
        </w:rPr>
        <w:t>Name</w:t>
      </w:r>
    </w:p>
    <w:p>
      <w:pPr>
        <w:spacing w:after="0" w:line="341" w:lineRule="exact"/>
        <w:rPr>
          <w:sz w:val="20"/>
          <w:szCs w:val="20"/>
          <w:color w:val="auto"/>
        </w:rPr>
      </w:pPr>
    </w:p>
    <w:p>
      <w:pPr>
        <w:jc w:val="center"/>
        <w:ind w:right="2080"/>
        <w:spacing w:after="0"/>
        <w:rPr>
          <w:sz w:val="20"/>
          <w:szCs w:val="20"/>
          <w:color w:val="auto"/>
        </w:rPr>
      </w:pPr>
      <w:r>
        <w:rPr>
          <w:rFonts w:ascii="Arial" w:cs="Arial" w:eastAsia="Arial" w:hAnsi="Arial"/>
          <w:sz w:val="22"/>
          <w:szCs w:val="22"/>
          <w:color w:val="auto"/>
        </w:rPr>
        <w:t>April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jc w:val="center"/>
        <w:ind w:right="20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401955</wp:posOffset>
            </wp:positionV>
            <wp:extent cx="58318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Email: _</w:t>
      </w:r>
      <w:r>
        <w:rPr>
          <w:rFonts w:ascii="Arial" w:cs="Arial" w:eastAsia="Arial" w:hAnsi="Arial"/>
          <w:sz w:val="22"/>
          <w:szCs w:val="22"/>
          <w:u w:val="single" w:color="auto"/>
          <w:color w:val="auto"/>
        </w:rPr>
        <w:t>dmcbride@cooperco.com</w:t>
      </w:r>
      <w:r>
        <w:rPr>
          <w:rFonts w:ascii="Arial" w:cs="Arial" w:eastAsia="Arial" w:hAnsi="Arial"/>
          <w:sz w:val="22"/>
          <w:szCs w:val="22"/>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Address: 5 El Corte, Orinda, CA 94563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EMPLOYER:</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Accepted and agreed</w:t>
      </w:r>
    </w:p>
    <w:p>
      <w:pPr>
        <w:sectPr>
          <w:pgSz w:w="11900" w:h="16838" w:orient="portrait"/>
          <w:cols w:equalWidth="0" w:num="1">
            <w:col w:w="11420"/>
          </w:cols>
          <w:pgMar w:left="240" w:top="369" w:right="239" w:bottom="40" w:gutter="0" w:footer="0" w:header="0"/>
        </w:sectPr>
      </w:pPr>
    </w:p>
    <w:bookmarkStart w:id="103" w:name="page104"/>
    <w:bookmarkEnd w:id="103"/>
    <w:p>
      <w:pPr>
        <w:ind w:left="120"/>
        <w:spacing w:after="0"/>
        <w:rPr>
          <w:sz w:val="20"/>
          <w:szCs w:val="20"/>
          <w:color w:val="auto"/>
        </w:rPr>
      </w:pPr>
      <w:r>
        <w:rPr>
          <w:rFonts w:ascii="Arial" w:cs="Arial" w:eastAsia="Arial" w:hAnsi="Arial"/>
          <w:sz w:val="22"/>
          <w:szCs w:val="22"/>
          <w:b w:val="1"/>
          <w:bCs w:val="1"/>
          <w:color w:val="auto"/>
        </w:rPr>
        <w:t>The Cooper Companies,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20" w:type="dxa"/>
            <w:vAlign w:val="bottom"/>
          </w:tcPr>
          <w:p>
            <w:pPr>
              <w:ind w:left="120"/>
              <w:spacing w:after="0"/>
              <w:rPr>
                <w:sz w:val="20"/>
                <w:szCs w:val="20"/>
                <w:color w:val="auto"/>
              </w:rPr>
            </w:pPr>
            <w:r>
              <w:rPr>
                <w:rFonts w:ascii="Arial" w:cs="Arial" w:eastAsia="Arial" w:hAnsi="Arial"/>
                <w:sz w:val="22"/>
                <w:szCs w:val="22"/>
                <w:color w:val="auto"/>
              </w:rPr>
              <w:t>By:</w:t>
            </w:r>
          </w:p>
        </w:tc>
        <w:tc>
          <w:tcPr>
            <w:tcW w:w="240" w:type="dxa"/>
            <w:vAlign w:val="bottom"/>
          </w:tcPr>
          <w:p>
            <w:pPr>
              <w:spacing w:after="0"/>
              <w:rPr>
                <w:sz w:val="24"/>
                <w:szCs w:val="24"/>
                <w:color w:val="auto"/>
              </w:rPr>
            </w:pPr>
          </w:p>
        </w:tc>
        <w:tc>
          <w:tcPr>
            <w:tcW w:w="558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/s Randal L. Golden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22"/>
                <w:szCs w:val="22"/>
                <w:color w:val="auto"/>
                <w:w w:val="86"/>
              </w:rPr>
              <w:t>Name:</w:t>
            </w:r>
          </w:p>
        </w:tc>
        <w:tc>
          <w:tcPr>
            <w:tcW w:w="5020" w:type="dxa"/>
            <w:vAlign w:val="bottom"/>
            <w:gridSpan w:val="3"/>
          </w:tcPr>
          <w:p>
            <w:pPr>
              <w:ind w:left="560"/>
              <w:spacing w:after="0"/>
              <w:rPr>
                <w:sz w:val="20"/>
                <w:szCs w:val="20"/>
                <w:color w:val="auto"/>
              </w:rPr>
            </w:pPr>
            <w:r>
              <w:rPr>
                <w:rFonts w:ascii="Arial" w:cs="Arial" w:eastAsia="Arial" w:hAnsi="Arial"/>
                <w:sz w:val="22"/>
                <w:szCs w:val="22"/>
                <w:color w:val="auto"/>
              </w:rPr>
              <w:t>Randal L. Golden</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22"/>
                <w:szCs w:val="22"/>
                <w:color w:val="auto"/>
              </w:rPr>
              <w:t>Title:</w:t>
            </w:r>
          </w:p>
        </w:tc>
        <w:tc>
          <w:tcPr>
            <w:tcW w:w="5020" w:type="dxa"/>
            <w:vAlign w:val="bottom"/>
            <w:gridSpan w:val="3"/>
          </w:tcPr>
          <w:p>
            <w:pPr>
              <w:ind w:left="560"/>
              <w:spacing w:after="0"/>
              <w:rPr>
                <w:sz w:val="20"/>
                <w:szCs w:val="20"/>
                <w:color w:val="auto"/>
              </w:rPr>
            </w:pPr>
            <w:r>
              <w:rPr>
                <w:rFonts w:ascii="Arial" w:cs="Arial" w:eastAsia="Arial" w:hAnsi="Arial"/>
                <w:sz w:val="22"/>
                <w:szCs w:val="22"/>
                <w:color w:val="auto"/>
                <w:w w:val="99"/>
              </w:rPr>
              <w:t>Vice President, General Counsel, &amp; Secretary</w:t>
            </w:r>
          </w:p>
        </w:tc>
        <w:tc>
          <w:tcPr>
            <w:tcW w:w="0" w:type="dxa"/>
            <w:vAlign w:val="bottom"/>
          </w:tcPr>
          <w:p>
            <w:pPr>
              <w:spacing w:after="0"/>
              <w:rPr>
                <w:sz w:val="1"/>
                <w:szCs w:val="1"/>
                <w:color w:val="auto"/>
              </w:rPr>
            </w:pPr>
          </w:p>
        </w:tc>
      </w:tr>
      <w:tr>
        <w:trPr>
          <w:trHeight w:val="605"/>
        </w:trPr>
        <w:tc>
          <w:tcPr>
            <w:tcW w:w="920" w:type="dxa"/>
            <w:vAlign w:val="bottom"/>
          </w:tcPr>
          <w:p>
            <w:pPr>
              <w:ind w:left="120"/>
              <w:spacing w:after="0"/>
              <w:rPr>
                <w:sz w:val="20"/>
                <w:szCs w:val="20"/>
                <w:color w:val="auto"/>
              </w:rPr>
            </w:pPr>
            <w:r>
              <w:rPr>
                <w:rFonts w:ascii="Arial" w:cs="Arial" w:eastAsia="Arial" w:hAnsi="Arial"/>
                <w:sz w:val="22"/>
                <w:szCs w:val="22"/>
                <w:color w:val="auto"/>
              </w:rPr>
              <w:t>Email:</w:t>
            </w:r>
          </w:p>
        </w:tc>
        <w:tc>
          <w:tcPr>
            <w:tcW w:w="240" w:type="dxa"/>
            <w:vAlign w:val="bottom"/>
          </w:tcPr>
          <w:p>
            <w:pPr>
              <w:spacing w:after="0"/>
              <w:rPr>
                <w:sz w:val="24"/>
                <w:szCs w:val="24"/>
                <w:color w:val="auto"/>
              </w:rPr>
            </w:pPr>
          </w:p>
        </w:tc>
        <w:tc>
          <w:tcPr>
            <w:tcW w:w="558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rgolden@cooperco.com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920" w:type="dxa"/>
            <w:vAlign w:val="bottom"/>
          </w:tcPr>
          <w:p>
            <w:pPr>
              <w:spacing w:after="0"/>
              <w:rPr>
                <w:sz w:val="20"/>
                <w:szCs w:val="20"/>
                <w:color w:val="auto"/>
              </w:rPr>
            </w:pPr>
            <w:r>
              <w:rPr>
                <w:rFonts w:ascii="Arial" w:cs="Arial" w:eastAsia="Arial" w:hAnsi="Arial"/>
                <w:sz w:val="22"/>
                <w:szCs w:val="22"/>
                <w:color w:val="auto"/>
              </w:rPr>
              <w:t>Address:</w:t>
            </w:r>
          </w:p>
        </w:tc>
        <w:tc>
          <w:tcPr>
            <w:tcW w:w="5860" w:type="dxa"/>
            <w:vAlign w:val="bottom"/>
            <w:gridSpan w:val="5"/>
          </w:tcPr>
          <w:p>
            <w:pPr>
              <w:ind w:left="120"/>
              <w:spacing w:after="0"/>
              <w:rPr>
                <w:sz w:val="20"/>
                <w:szCs w:val="20"/>
                <w:color w:val="auto"/>
              </w:rPr>
            </w:pPr>
            <w:r>
              <w:rPr>
                <w:rFonts w:ascii="Arial" w:cs="Arial" w:eastAsia="Arial" w:hAnsi="Arial"/>
                <w:sz w:val="22"/>
                <w:szCs w:val="22"/>
                <w:color w:val="auto"/>
              </w:rPr>
              <w:t>6140 Stoneridge Mall Road, Suite 590</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20" w:type="dxa"/>
            <w:vAlign w:val="bottom"/>
            <w:gridSpan w:val="4"/>
          </w:tcPr>
          <w:p>
            <w:pPr>
              <w:ind w:left="140"/>
              <w:spacing w:after="0"/>
              <w:rPr>
                <w:sz w:val="20"/>
                <w:szCs w:val="20"/>
                <w:color w:val="auto"/>
              </w:rPr>
            </w:pPr>
            <w:r>
              <w:rPr>
                <w:rFonts w:ascii="Arial" w:cs="Arial" w:eastAsia="Arial" w:hAnsi="Arial"/>
                <w:sz w:val="22"/>
                <w:szCs w:val="22"/>
                <w:color w:val="auto"/>
              </w:rPr>
              <w:t>Pleasanton, California 94588</w:t>
            </w:r>
          </w:p>
        </w:tc>
        <w:tc>
          <w:tcPr>
            <w:tcW w:w="0" w:type="dxa"/>
            <w:vAlign w:val="bottom"/>
          </w:tcPr>
          <w:p>
            <w:pPr>
              <w:spacing w:after="0"/>
              <w:rPr>
                <w:sz w:val="1"/>
                <w:szCs w:val="1"/>
                <w:color w:val="auto"/>
              </w:rPr>
            </w:pPr>
          </w:p>
        </w:tc>
      </w:tr>
      <w:tr>
        <w:trPr>
          <w:trHeight w:val="70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20" w:type="dxa"/>
            <w:vAlign w:val="bottom"/>
            <w:gridSpan w:val="3"/>
          </w:tcPr>
          <w:p>
            <w:pPr>
              <w:ind w:left="3380"/>
              <w:spacing w:after="0"/>
              <w:rPr>
                <w:sz w:val="20"/>
                <w:szCs w:val="20"/>
                <w:color w:val="auto"/>
              </w:rPr>
            </w:pPr>
            <w:r>
              <w:rPr>
                <w:rFonts w:ascii="Arial" w:cs="Arial" w:eastAsia="Arial" w:hAnsi="Arial"/>
                <w:sz w:val="22"/>
                <w:szCs w:val="22"/>
                <w:b w:val="1"/>
                <w:bCs w:val="1"/>
                <w:color w:val="auto"/>
              </w:rPr>
              <w:t>EXHIBIT A</w:t>
            </w:r>
          </w:p>
        </w:tc>
        <w:tc>
          <w:tcPr>
            <w:tcW w:w="0" w:type="dxa"/>
            <w:vAlign w:val="bottom"/>
          </w:tcPr>
          <w:p>
            <w:pPr>
              <w:spacing w:after="0"/>
              <w:rPr>
                <w:sz w:val="1"/>
                <w:szCs w:val="1"/>
                <w:color w:val="auto"/>
              </w:rPr>
            </w:pPr>
          </w:p>
        </w:tc>
      </w:tr>
      <w:tr>
        <w:trPr>
          <w:trHeight w:val="47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20" w:type="dxa"/>
            <w:vAlign w:val="bottom"/>
            <w:gridSpan w:val="3"/>
          </w:tcPr>
          <w:p>
            <w:pPr>
              <w:ind w:left="2900"/>
              <w:spacing w:after="0"/>
              <w:rPr>
                <w:sz w:val="20"/>
                <w:szCs w:val="20"/>
                <w:color w:val="auto"/>
              </w:rPr>
            </w:pPr>
            <w:r>
              <w:rPr>
                <w:rFonts w:ascii="Arial" w:cs="Arial" w:eastAsia="Arial" w:hAnsi="Arial"/>
                <w:sz w:val="22"/>
                <w:szCs w:val="22"/>
                <w:b w:val="1"/>
                <w:bCs w:val="1"/>
                <w:color w:val="auto"/>
                <w:w w:val="99"/>
              </w:rPr>
              <w:t>PRIOR INVENTIONS</w:t>
            </w:r>
          </w:p>
        </w:tc>
        <w:tc>
          <w:tcPr>
            <w:tcW w:w="0" w:type="dxa"/>
            <w:vAlign w:val="bottom"/>
          </w:tcPr>
          <w:p>
            <w:pPr>
              <w:spacing w:after="0"/>
              <w:rPr>
                <w:sz w:val="1"/>
                <w:szCs w:val="1"/>
                <w:color w:val="auto"/>
              </w:rPr>
            </w:pPr>
          </w:p>
        </w:tc>
      </w:tr>
      <w:tr>
        <w:trPr>
          <w:trHeight w:val="710"/>
        </w:trPr>
        <w:tc>
          <w:tcPr>
            <w:tcW w:w="920" w:type="dxa"/>
            <w:vAlign w:val="bottom"/>
          </w:tcPr>
          <w:p>
            <w:pPr>
              <w:ind w:left="120"/>
              <w:spacing w:after="0"/>
              <w:rPr>
                <w:sz w:val="20"/>
                <w:szCs w:val="20"/>
                <w:color w:val="auto"/>
              </w:rPr>
            </w:pPr>
            <w:r>
              <w:rPr>
                <w:rFonts w:ascii="Arial" w:cs="Arial" w:eastAsia="Arial" w:hAnsi="Arial"/>
                <w:sz w:val="20"/>
                <w:szCs w:val="20"/>
                <w:b w:val="1"/>
                <w:bCs w:val="1"/>
                <w:color w:val="auto"/>
              </w:rPr>
              <w:t>TO:</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20" w:type="dxa"/>
            <w:vAlign w:val="bottom"/>
            <w:gridSpan w:val="3"/>
          </w:tcPr>
          <w:p>
            <w:pPr>
              <w:ind w:left="20"/>
              <w:spacing w:after="0"/>
              <w:rPr>
                <w:sz w:val="20"/>
                <w:szCs w:val="20"/>
                <w:color w:val="auto"/>
              </w:rPr>
            </w:pPr>
            <w:r>
              <w:rPr>
                <w:rFonts w:ascii="Arial" w:cs="Arial" w:eastAsia="Arial" w:hAnsi="Arial"/>
                <w:sz w:val="20"/>
                <w:szCs w:val="20"/>
                <w:b w:val="1"/>
                <w:bCs w:val="1"/>
                <w:color w:val="auto"/>
              </w:rPr>
              <w:t>The Cooper Companies, Inc.</w:t>
            </w:r>
          </w:p>
        </w:tc>
        <w:tc>
          <w:tcPr>
            <w:tcW w:w="0" w:type="dxa"/>
            <w:vAlign w:val="bottom"/>
          </w:tcPr>
          <w:p>
            <w:pPr>
              <w:spacing w:after="0"/>
              <w:rPr>
                <w:sz w:val="1"/>
                <w:szCs w:val="1"/>
                <w:color w:val="auto"/>
              </w:rPr>
            </w:pPr>
          </w:p>
        </w:tc>
      </w:tr>
      <w:tr>
        <w:trPr>
          <w:trHeight w:val="23"/>
        </w:trPr>
        <w:tc>
          <w:tcPr>
            <w:tcW w:w="92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FROM:</w:t>
            </w: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20" w:type="dxa"/>
            <w:vAlign w:val="bottom"/>
            <w:gridSpan w:val="3"/>
          </w:tcPr>
          <w:p>
            <w:pPr>
              <w:ind w:left="20"/>
              <w:spacing w:after="0"/>
              <w:rPr>
                <w:sz w:val="20"/>
                <w:szCs w:val="20"/>
                <w:color w:val="auto"/>
              </w:rPr>
            </w:pPr>
            <w:r>
              <w:rPr>
                <w:rFonts w:ascii="Arial" w:cs="Arial" w:eastAsia="Arial" w:hAnsi="Arial"/>
                <w:sz w:val="20"/>
                <w:szCs w:val="20"/>
                <w:b w:val="1"/>
                <w:bCs w:val="1"/>
                <w:color w:val="auto"/>
              </w:rPr>
              <w:t>Daniel G. McBride</w:t>
            </w:r>
          </w:p>
        </w:tc>
        <w:tc>
          <w:tcPr>
            <w:tcW w:w="0" w:type="dxa"/>
            <w:vAlign w:val="bottom"/>
          </w:tcPr>
          <w:p>
            <w:pPr>
              <w:spacing w:after="0"/>
              <w:rPr>
                <w:sz w:val="1"/>
                <w:szCs w:val="1"/>
                <w:color w:val="auto"/>
              </w:rPr>
            </w:pPr>
          </w:p>
        </w:tc>
      </w:tr>
      <w:tr>
        <w:trPr>
          <w:trHeight w:val="23"/>
        </w:trPr>
        <w:tc>
          <w:tcPr>
            <w:tcW w:w="92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DATE:</w:t>
            </w: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20" w:type="dxa"/>
            <w:vAlign w:val="bottom"/>
            <w:gridSpan w:val="3"/>
          </w:tcPr>
          <w:p>
            <w:pPr>
              <w:ind w:left="20"/>
              <w:spacing w:after="0"/>
              <w:rPr>
                <w:sz w:val="20"/>
                <w:szCs w:val="20"/>
                <w:color w:val="auto"/>
              </w:rPr>
            </w:pPr>
            <w:r>
              <w:rPr>
                <w:rFonts w:ascii="Arial" w:cs="Arial" w:eastAsia="Arial" w:hAnsi="Arial"/>
                <w:sz w:val="20"/>
                <w:szCs w:val="20"/>
                <w:b w:val="1"/>
                <w:bCs w:val="1"/>
                <w:color w:val="auto"/>
              </w:rPr>
              <w:t>April 17, 2019</w:t>
            </w:r>
          </w:p>
        </w:tc>
        <w:tc>
          <w:tcPr>
            <w:tcW w:w="0" w:type="dxa"/>
            <w:vAlign w:val="bottom"/>
          </w:tcPr>
          <w:p>
            <w:pPr>
              <w:spacing w:after="0"/>
              <w:rPr>
                <w:sz w:val="1"/>
                <w:szCs w:val="1"/>
                <w:color w:val="auto"/>
              </w:rPr>
            </w:pPr>
          </w:p>
        </w:tc>
      </w:tr>
      <w:tr>
        <w:trPr>
          <w:trHeight w:val="23"/>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660" w:right="600" w:hanging="652"/>
        <w:spacing w:after="0" w:line="451" w:lineRule="auto"/>
        <w:tabs>
          <w:tab w:leader="none" w:pos="39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Prior Inventions Disclosure</w:t>
      </w:r>
      <w:r>
        <w:rPr>
          <w:rFonts w:ascii="Arial" w:cs="Arial" w:eastAsia="Arial" w:hAnsi="Arial"/>
          <w:sz w:val="22"/>
          <w:szCs w:val="22"/>
          <w:color w:val="auto"/>
        </w:rPr>
        <w:t>. Except as listed in Section 2 below, the following is a complete list of all Prior Inventions:</w:t>
      </w:r>
      <w:r>
        <w:rPr>
          <w:rFonts w:ascii="Arial" w:cs="Arial" w:eastAsia="Arial" w:hAnsi="Arial"/>
          <w:sz w:val="22"/>
          <w:szCs w:val="22"/>
          <w:b w:val="1"/>
          <w:bCs w:val="1"/>
          <w:color w:val="auto"/>
        </w:rPr>
        <w:t xml:space="preserve"> </w:t>
      </w:r>
      <w:r>
        <w:rPr>
          <w:rFonts w:ascii="Arial" w:cs="Arial" w:eastAsia="Arial" w:hAnsi="Arial"/>
          <w:sz w:val="22"/>
          <w:szCs w:val="22"/>
          <w:color w:val="auto"/>
        </w:rPr>
        <w:t>No Prior Inventions.</w:t>
      </w: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1405255</wp:posOffset>
            </wp:positionV>
            <wp:extent cx="5454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1207770</wp:posOffset>
            </wp:positionV>
            <wp:extent cx="54540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1010920</wp:posOffset>
            </wp:positionV>
            <wp:extent cx="54540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813435</wp:posOffset>
            </wp:positionV>
            <wp:extent cx="54540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615950</wp:posOffset>
            </wp:positionV>
            <wp:extent cx="54540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419100</wp:posOffset>
            </wp:positionV>
            <wp:extent cx="5454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sheets attached.</w:t>
      </w:r>
    </w:p>
    <w:p>
      <w:pPr>
        <w:spacing w:after="0" w:line="220" w:lineRule="exact"/>
        <w:rPr>
          <w:sz w:val="20"/>
          <w:szCs w:val="20"/>
          <w:color w:val="auto"/>
        </w:rPr>
      </w:pPr>
    </w:p>
    <w:p>
      <w:pPr>
        <w:jc w:val="both"/>
        <w:ind w:firstLine="8"/>
        <w:spacing w:after="0" w:line="253" w:lineRule="auto"/>
        <w:tabs>
          <w:tab w:leader="none" w:pos="473"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 xml:space="preserve">Due to a prior confidentiality agreement, I cannot complete the disclosure under Section 1 above with respect to the Prior Inventions generally listed below, the intellectual property rights and duty of confidentiality with respect to which I owe to the following party(ies): </w:t>
      </w:r>
      <w:r>
        <w:rPr>
          <w:rFonts w:ascii="Arial" w:cs="Arial" w:eastAsia="Arial" w:hAnsi="Arial"/>
          <w:sz w:val="22"/>
          <w:szCs w:val="22"/>
          <w:b w:val="1"/>
          <w:bCs w:val="1"/>
          <w:color w:val="auto"/>
        </w:rPr>
        <w:t>N/A</w:t>
      </w:r>
    </w:p>
    <w:p>
      <w:pPr>
        <w:spacing w:after="0" w:line="200" w:lineRule="exact"/>
        <w:rPr>
          <w:sz w:val="20"/>
          <w:szCs w:val="20"/>
          <w:color w:val="auto"/>
        </w:rPr>
      </w:pPr>
    </w:p>
    <w:p>
      <w:pPr>
        <w:spacing w:after="0" w:line="236" w:lineRule="exact"/>
        <w:rPr>
          <w:sz w:val="20"/>
          <w:szCs w:val="20"/>
          <w:color w:val="auto"/>
        </w:rPr>
      </w:pPr>
    </w:p>
    <w:p>
      <w:pPr>
        <w:ind w:left="1640"/>
        <w:spacing w:after="0"/>
        <w:tabs>
          <w:tab w:leader="none" w:pos="5900" w:val="left"/>
          <w:tab w:leader="none" w:pos="9460" w:val="left"/>
        </w:tabs>
        <w:rPr>
          <w:sz w:val="20"/>
          <w:szCs w:val="20"/>
          <w:color w:val="auto"/>
        </w:rPr>
      </w:pPr>
      <w:r>
        <w:rPr>
          <w:rFonts w:ascii="Arial" w:cs="Arial" w:eastAsia="Arial" w:hAnsi="Arial"/>
          <w:sz w:val="22"/>
          <w:szCs w:val="22"/>
          <w:b w:val="1"/>
          <w:bCs w:val="1"/>
          <w:color w:val="auto"/>
        </w:rPr>
        <w:t>Excluded Invention</w:t>
      </w:r>
      <w:r>
        <w:rPr>
          <w:sz w:val="20"/>
          <w:szCs w:val="20"/>
          <w:color w:val="auto"/>
        </w:rPr>
        <w:tab/>
      </w:r>
      <w:r>
        <w:rPr>
          <w:rFonts w:ascii="Arial" w:cs="Arial" w:eastAsia="Arial" w:hAnsi="Arial"/>
          <w:sz w:val="22"/>
          <w:szCs w:val="22"/>
          <w:b w:val="1"/>
          <w:bCs w:val="1"/>
          <w:color w:val="auto"/>
        </w:rPr>
        <w:t>Party(ies)</w:t>
      </w:r>
      <w:r>
        <w:rPr>
          <w:sz w:val="20"/>
          <w:szCs w:val="20"/>
          <w:color w:val="auto"/>
        </w:rPr>
        <w:tab/>
      </w:r>
      <w:r>
        <w:rPr>
          <w:rFonts w:ascii="Arial" w:cs="Arial" w:eastAsia="Arial" w:hAnsi="Arial"/>
          <w:sz w:val="19"/>
          <w:szCs w:val="19"/>
          <w:b w:val="1"/>
          <w:bCs w:val="1"/>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28575</wp:posOffset>
            </wp:positionV>
            <wp:extent cx="65862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Additional sheets attached.</w:t>
      </w:r>
    </w:p>
    <w:p>
      <w:pPr>
        <w:spacing w:after="0" w:line="200" w:lineRule="exact"/>
        <w:rPr>
          <w:sz w:val="20"/>
          <w:szCs w:val="20"/>
          <w:color w:val="auto"/>
        </w:rPr>
      </w:pPr>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Limited Exclusion Notification</w:t>
      </w:r>
      <w:r>
        <w:rPr>
          <w:rFonts w:ascii="Arial" w:cs="Arial" w:eastAsia="Arial" w:hAnsi="Arial"/>
          <w:sz w:val="19"/>
          <w:szCs w:val="19"/>
          <w:color w:val="auto"/>
        </w:rPr>
        <w:t>.</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This is to notify you in accordance with Section 2872 of the California Labor Code that the foregoing Agreement between you and Company does not require you to assign or offer to assign to Company any Invention that you develop entirely on your own time without using Company’s equipment, supplies, facilities or trade secret information, except for those Inventions that either:</w:t>
      </w:r>
    </w:p>
    <w:p>
      <w:pPr>
        <w:sectPr>
          <w:pgSz w:w="11900" w:h="16838" w:orient="portrait"/>
          <w:cols w:equalWidth="0" w:num="1">
            <w:col w:w="11420"/>
          </w:cols>
          <w:pgMar w:left="240" w:top="409" w:right="239" w:bottom="0" w:gutter="0" w:footer="0" w:header="0"/>
        </w:sectPr>
      </w:pPr>
    </w:p>
    <w:bookmarkStart w:id="104" w:name="page105"/>
    <w:bookmarkEnd w:id="104"/>
    <w:p>
      <w:pPr>
        <w:ind w:firstLine="656"/>
        <w:spacing w:after="0" w:line="263" w:lineRule="auto"/>
        <w:tabs>
          <w:tab w:leader="none" w:pos="105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to Company’s business, or actual or demonstrably anticipated research or development; or</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Result from any work performed by you for Company.</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signed on or within twenty-one (21) days after the Separation Date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My employment with the Cooper Companies, Inc. (“</w:t>
      </w:r>
      <w:r>
        <w:rPr>
          <w:rFonts w:ascii="Arial" w:cs="Arial" w:eastAsia="Arial" w:hAnsi="Arial"/>
          <w:sz w:val="19"/>
          <w:szCs w:val="19"/>
          <w:b w:val="1"/>
          <w:bCs w:val="1"/>
          <w:color w:val="auto"/>
        </w:rPr>
        <w:t>Company</w:t>
      </w:r>
      <w:r>
        <w:rPr>
          <w:rFonts w:ascii="Arial" w:cs="Arial" w:eastAsia="Arial" w:hAnsi="Arial"/>
          <w:sz w:val="19"/>
          <w:szCs w:val="19"/>
          <w:color w:val="auto"/>
        </w:rPr>
        <w:t>”) ended in all capacities on ________ (the “</w:t>
      </w:r>
      <w:r>
        <w:rPr>
          <w:rFonts w:ascii="Arial" w:cs="Arial" w:eastAsia="Arial" w:hAnsi="Arial"/>
          <w:sz w:val="19"/>
          <w:szCs w:val="19"/>
          <w:b w:val="1"/>
          <w:bCs w:val="1"/>
          <w:color w:val="auto"/>
        </w:rPr>
        <w:t>Separation Date</w:t>
      </w:r>
      <w:r>
        <w:rPr>
          <w:rFonts w:ascii="Arial" w:cs="Arial" w:eastAsia="Arial" w:hAnsi="Arial"/>
          <w:sz w:val="19"/>
          <w:szCs w:val="19"/>
          <w:color w:val="auto"/>
        </w:rPr>
        <w:t>”). I hereby</w:t>
      </w:r>
    </w:p>
    <w:p>
      <w:pPr>
        <w:spacing w:after="0" w:line="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confirm that I have been paid all compensation owed to me by Company for all hours worked; I have received all leave and leave benefits and protections for which I was eligible, pursuant to Company’s policies, applicable law, or otherwise; and I have not suffered any on-the-job injury or illness for which I have not already filed a workers’ compensation claim.</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I choose to enter into this Release and allow it to become effective by its terms, Company will provide me with certain severance benefits pursuant to the terms of the Executive Employment Agreement between me and Company dated ____, 2018 (the “</w:t>
      </w:r>
      <w:r>
        <w:rPr>
          <w:rFonts w:ascii="Arial" w:cs="Arial" w:eastAsia="Arial" w:hAnsi="Arial"/>
          <w:sz w:val="18"/>
          <w:szCs w:val="18"/>
          <w:b w:val="1"/>
          <w:bCs w:val="1"/>
          <w:color w:val="auto"/>
        </w:rPr>
        <w:t>Agreement</w:t>
      </w:r>
      <w:r>
        <w:rPr>
          <w:rFonts w:ascii="Arial" w:cs="Arial" w:eastAsia="Arial" w:hAnsi="Arial"/>
          <w:sz w:val="18"/>
          <w:szCs w:val="18"/>
          <w:color w:val="auto"/>
        </w:rPr>
        <w:t>”). I understand</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that I am not entitled to such severance benefits unless I return this fully-executed Release to Company within twenty-one (21) days after the Separation Date, and allow this Release to become fully effective and non-revocable by its terms. (Capitalized terms used but not defined in this Release shall have the meaning ascribed to them in the Agreement.)</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exchange for the severance benefits to which I would not otherwise be entitled, I hereby generally and completely release Company and its directors, officers, employees, shareholders, partners, agents, attorneys, predecessors, successors, parent and subsidiary entities, insurers, affiliates, and assigns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claims, liabilities and obligations, both known and unknown, arising from or in any way related to events, acts, conduct, or omissions occurring prior to or at the time that I sign this Release, including but not limited to claims arising from or in any way related to my employment with Company or the termination of that employment (collectively, the “</w:t>
      </w:r>
      <w:r>
        <w:rPr>
          <w:rFonts w:ascii="Arial" w:cs="Arial" w:eastAsia="Arial" w:hAnsi="Arial"/>
          <w:sz w:val="18"/>
          <w:szCs w:val="18"/>
          <w:b w:val="1"/>
          <w:bCs w:val="1"/>
          <w:color w:val="auto"/>
        </w:rPr>
        <w:t>Released Claims</w:t>
      </w:r>
      <w:r>
        <w:rPr>
          <w:rFonts w:ascii="Arial" w:cs="Arial" w:eastAsia="Arial" w:hAnsi="Arial"/>
          <w:sz w:val="18"/>
          <w:szCs w:val="18"/>
          <w:color w:val="auto"/>
        </w:rPr>
        <w:t>”). By way of example, the Released claims include, but are not limited to: (1) all claims related to my compensation or benefits from Company, including salary, bonuses, commissions, vacation pay, expense reimbursements, severance pay, fringe benefits, stock, stock options, or any other ownership interests in Company; (2) all claims for breach of contract, wrongful termination, and breach of the implied covenant of good faith and fair dealing; (3) all tort claims, including claims for fraud, defamation, emotional distress, and discharge in violation of public policy; and (4)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8"/>
          <w:szCs w:val="18"/>
          <w:b w:val="1"/>
          <w:bCs w:val="1"/>
          <w:color w:val="auto"/>
        </w:rPr>
        <w:t>ADEA</w:t>
      </w:r>
      <w:r>
        <w:rPr>
          <w:rFonts w:ascii="Arial" w:cs="Arial" w:eastAsia="Arial" w:hAnsi="Arial"/>
          <w:sz w:val="18"/>
          <w:szCs w:val="18"/>
          <w:color w:val="auto"/>
        </w:rPr>
        <w:t>”), and California state law.</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Notwithstanding the foregoing, the following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included in the Released Claims (the “</w:t>
      </w:r>
      <w:r>
        <w:rPr>
          <w:rFonts w:ascii="Arial" w:cs="Arial" w:eastAsia="Arial" w:hAnsi="Arial"/>
          <w:sz w:val="18"/>
          <w:szCs w:val="18"/>
          <w:b w:val="1"/>
          <w:bCs w:val="1"/>
          <w:color w:val="auto"/>
        </w:rPr>
        <w:t>Excluded Claims</w:t>
      </w:r>
      <w:r>
        <w:rPr>
          <w:rFonts w:ascii="Arial" w:cs="Arial" w:eastAsia="Arial" w:hAnsi="Arial"/>
          <w:sz w:val="18"/>
          <w:szCs w:val="18"/>
          <w:color w:val="auto"/>
        </w:rPr>
        <w:t>”): (a) any claims for breach of the Agreement arising after the date on which I sign this Release; (2) claims for reimbursement of properly incurred business expenses prior to and through the Separation Date which are submitted to Company for reimbursement within thirty (30) days after the Separation Date; (3) all rights I have in respect of the Equity Awards; (4) all claims for or rights to indemnification pursuant to this Agreement, the articles of incorporation and bylaws of Company, any indemnification agreement to which I am a party, or applicable law; (5) the Company’s continuing severance obligations under the Agreement; and (6) all claims which cannot be waived as a matter of law. I understand that nothing in this Release prevents me from filing, cooperating with, or participating in any proceeding before the Equal Employment Opportunity Commission, the Department of Labor, or any other government agency, except that I acknowledge and agree that I am hereby waiving my right to any monetary benefits in connection with any such claim, charge or proceeding (except for such benefits with respect to proceedings before the Securities and Exchange Commission). I hereby represent and warrant that, other than the Excluded Claims, I am not aware of any claims that I have or might have against any of the parties released above that are not included in the Released Claims.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 acknowledge that I am knowingly and voluntarily waiving and releasing any rights I may have under the ADEA, and that the consideration given for this Release is in addition to anything of value to which I was already entitled. I further acknowledge that I have been advised, as required by the ADEA, that: (a) my waiver and release does not apply to any rights or claims that may arise after the date I sign this Release; (b) I have been advised that I have the right to consult with an attorney prior to executing this Release (although I may choose voluntarily not to</w:t>
      </w:r>
    </w:p>
    <w:p>
      <w:pPr>
        <w:sectPr>
          <w:pgSz w:w="11900" w:h="16838" w:orient="portrait"/>
          <w:cols w:equalWidth="0" w:num="1">
            <w:col w:w="11420"/>
          </w:cols>
          <w:pgMar w:left="240" w:top="172" w:right="239" w:bottom="0" w:gutter="0" w:footer="0" w:header="0"/>
        </w:sectPr>
      </w:pPr>
    </w:p>
    <w:bookmarkStart w:id="105" w:name="page106"/>
    <w:bookmarkEnd w:id="105"/>
    <w:p>
      <w:pPr>
        <w:jc w:val="both"/>
        <w:spacing w:after="0" w:line="264" w:lineRule="auto"/>
        <w:rPr>
          <w:sz w:val="20"/>
          <w:szCs w:val="20"/>
          <w:color w:val="auto"/>
        </w:rPr>
      </w:pPr>
      <w:r>
        <w:rPr>
          <w:rFonts w:ascii="Arial" w:cs="Arial" w:eastAsia="Arial" w:hAnsi="Arial"/>
          <w:sz w:val="19"/>
          <w:szCs w:val="19"/>
          <w:color w:val="auto"/>
        </w:rPr>
        <w:t>do so); (c) I have been given twenty-one (21) days to consider this Release (although I may choose voluntarily to sign it earlier); (d) I have seven (7) days following my execution of this Release to revoke my acceptance of it (with such revocation to be delivered in writing to the Chair of the Board within the 7-day revocation period); and (e) this Release will not be effective until the date upon which the revocation period has expired, which will be the eighth day after I sign it, provided I do not earlier revoke it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required under California law for a general release of all known and unknown claims, I acknowledge that I have read and understand Section 1542 of the California Civil Code which reads as follows: “A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 I hereby expressly waive and relinquish all rights and benefits under that section and any law or legal principle of similar effect in any jurisdiction with respect to my release of claims herein, including but not limited to the release of unknown and unsuspected claims.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 further agree: (a) not to disparage Company or any of the other Released Parties, in any manner likely to be harmful to its or their business, business reputation or personal reputation (although I may respond accurately and fully to any question, inquiry or request for information as required by legal process); (b) not to voluntarily (except in response to legal compulsion) assist any third party in bringing or pursuing any proposed or pending litigation, arbitration, administrative claim or other formal proceedings against Company, its affiliates, officers, directors, employees or agents; and (c) to reasonably cooperate with Company by voluntarily (without legal compulsion) providing accurate and complete information, in connection with Company’s actual or contemplated defense, prosecution or investigation of any claims or demands by or against third parties, or other matters, arising from events, acts, or omissions that occurred during my employment with Company. I hereby certify that I have returned, without retaining any reproductions (in whole or in part), all information, materials and other property of Company, including but not limited to any embodiment (in any medium) of any confidential or proprietary information of Company (including but not limited to any such embodiments on any personally-owned electronic or other storage device such as computer, cellular phone, PDA, tablet or the like).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Release, together with the Agreement (including all Exhibits and documents incorporated therein by reference), constitutes the complete, final and exclusive embodiment of the entire agreement between me and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Reviewed, Understood and Agreed:</w:t>
      </w:r>
    </w:p>
    <w:p>
      <w:pPr>
        <w:spacing w:after="0" w:line="200" w:lineRule="exact"/>
        <w:rPr>
          <w:sz w:val="20"/>
          <w:szCs w:val="20"/>
          <w:color w:val="auto"/>
        </w:rPr>
      </w:pPr>
    </w:p>
    <w:p>
      <w:pPr>
        <w:spacing w:after="0" w:line="251"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7805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054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Daniel G. McBride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4"/>
          <w:szCs w:val="14"/>
          <w:color w:val="auto"/>
        </w:rPr>
        <w:t>174580400 v7</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10.4</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EXECUTIVE EMPLOYMENT AGREEMENT</w:t>
      </w:r>
    </w:p>
    <w:p>
      <w:pPr>
        <w:spacing w:after="0" w:line="3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THIS EXECUTIVE EMPLOYMENT AGREEMENT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is made by and between The Cooper Companies, Inc.</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and Holly R. Sheffield (“</w:t>
      </w:r>
      <w:r>
        <w:rPr>
          <w:rFonts w:ascii="Arial" w:cs="Arial" w:eastAsia="Arial" w:hAnsi="Arial"/>
          <w:sz w:val="19"/>
          <w:szCs w:val="19"/>
          <w:b w:val="1"/>
          <w:bCs w:val="1"/>
          <w:color w:val="auto"/>
        </w:rPr>
        <w:t>Executive</w:t>
      </w:r>
      <w:r>
        <w:rPr>
          <w:rFonts w:ascii="Arial" w:cs="Arial" w:eastAsia="Arial" w:hAnsi="Arial"/>
          <w:sz w:val="19"/>
          <w:szCs w:val="19"/>
          <w:color w:val="auto"/>
        </w:rPr>
        <w:t>”) (collectively, the “</w:t>
      </w:r>
      <w:r>
        <w:rPr>
          <w:rFonts w:ascii="Arial" w:cs="Arial" w:eastAsia="Arial" w:hAnsi="Arial"/>
          <w:sz w:val="19"/>
          <w:szCs w:val="19"/>
          <w:b w:val="1"/>
          <w:bCs w:val="1"/>
          <w:color w:val="auto"/>
        </w:rPr>
        <w:t>Parties</w:t>
      </w:r>
      <w:r>
        <w:rPr>
          <w:rFonts w:ascii="Arial" w:cs="Arial" w:eastAsia="Arial" w:hAnsi="Arial"/>
          <w:sz w:val="19"/>
          <w:szCs w:val="19"/>
          <w:color w:val="auto"/>
        </w:rPr>
        <w:t>”, each a “</w:t>
      </w:r>
      <w:r>
        <w:rPr>
          <w:rFonts w:ascii="Arial" w:cs="Arial" w:eastAsia="Arial" w:hAnsi="Arial"/>
          <w:sz w:val="19"/>
          <w:szCs w:val="19"/>
          <w:b w:val="1"/>
          <w:bCs w:val="1"/>
          <w:color w:val="auto"/>
        </w:rPr>
        <w:t>Party</w:t>
      </w:r>
      <w:r>
        <w:rPr>
          <w:rFonts w:ascii="Arial" w:cs="Arial" w:eastAsia="Arial" w:hAnsi="Arial"/>
          <w:sz w:val="19"/>
          <w:szCs w:val="19"/>
          <w:color w:val="auto"/>
        </w:rPr>
        <w:t>”). As of the date (the “</w:t>
      </w:r>
      <w:r>
        <w:rPr>
          <w:rFonts w:ascii="Arial" w:cs="Arial" w:eastAsia="Arial" w:hAnsi="Arial"/>
          <w:sz w:val="19"/>
          <w:szCs w:val="19"/>
          <w:b w:val="1"/>
          <w:bCs w:val="1"/>
          <w:color w:val="auto"/>
        </w:rPr>
        <w:t>Execution Date</w:t>
      </w:r>
      <w:r>
        <w:rPr>
          <w:rFonts w:ascii="Arial" w:cs="Arial" w:eastAsia="Arial" w:hAnsi="Arial"/>
          <w:sz w:val="19"/>
          <w:szCs w:val="19"/>
          <w:color w:val="auto"/>
        </w:rPr>
        <w:t>”) this Agreement has been executed by both Parties, it will be deemed effective as of November 1, 2018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is currently employed by Company as its Executive Vice President &amp; Chief Strategy Officer;</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Company wishes to continue to employ Executive and Executive wishes to be employed by Company on the terms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herein; and</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intend for this Agreement to set forth all of the terms and conditions of Executive’s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to supersede and replace all prior agreements, arrangements, representations or understandings between the Parties regarding Executive’s employment with Company, except for those prior agreements specifically identified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and covenants contained herein, the Parties agree as follows:</w:t>
      </w:r>
    </w:p>
    <w:p>
      <w:pPr>
        <w:spacing w:after="0" w:line="241" w:lineRule="exact"/>
        <w:rPr>
          <w:sz w:val="20"/>
          <w:szCs w:val="20"/>
          <w:color w:val="auto"/>
        </w:rPr>
      </w:pPr>
    </w:p>
    <w:p>
      <w:pPr>
        <w:ind w:firstLine="8"/>
        <w:spacing w:after="0" w:line="295" w:lineRule="auto"/>
        <w:tabs>
          <w:tab w:leader="none" w:pos="797"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POSITION. </w:t>
      </w:r>
      <w:r>
        <w:rPr>
          <w:rFonts w:ascii="Arial" w:cs="Arial" w:eastAsia="Arial" w:hAnsi="Arial"/>
          <w:sz w:val="20"/>
          <w:szCs w:val="20"/>
          <w:color w:val="auto"/>
        </w:rPr>
        <w:t>Company will continue to employ Executive and Executive shall continue to serve Company in the capacity of</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Vice President &amp; Chief Strategy Officer.</w:t>
      </w:r>
    </w:p>
    <w:p>
      <w:pPr>
        <w:spacing w:after="0" w:line="150" w:lineRule="exact"/>
        <w:rPr>
          <w:rFonts w:ascii="Arial" w:cs="Arial" w:eastAsia="Arial" w:hAnsi="Arial"/>
          <w:sz w:val="20"/>
          <w:szCs w:val="20"/>
          <w:b w:val="1"/>
          <w:bCs w:val="1"/>
          <w:color w:val="auto"/>
        </w:rPr>
      </w:pPr>
    </w:p>
    <w:p>
      <w:pPr>
        <w:jc w:val="both"/>
        <w:ind w:firstLine="8"/>
        <w:spacing w:after="0" w:line="270" w:lineRule="auto"/>
        <w:tabs>
          <w:tab w:leader="none" w:pos="369"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w:t>
      </w:r>
      <w:r>
        <w:rPr>
          <w:rFonts w:ascii="Arial" w:cs="Arial" w:eastAsia="Arial" w:hAnsi="Arial"/>
          <w:sz w:val="18"/>
          <w:szCs w:val="18"/>
          <w:color w:val="auto"/>
        </w:rPr>
        <w:t>As Executive Vice President &amp; Chief Strategy Officer, Executive shall render exclusive, full-time services to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and exercise such authority and perform such duties as assigned to Executive by Company’s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Executive shall report to the CEO. Executive shall perform services under this Agreement primarily at Company’s office in Pleasanton, California, and undertake business travel as necessary in performing the duties of his position. Subject to the terms of this Agreement, Executive’s responsibilities, working conditions and duties may be modified at the sole discretion of the CEO or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While employed by Company, Executive shall not compete with, or prepare to compete with Company, and Executive shall devote Executive’s best efforts and full business time, skill and attention to performance of Executive’s duties on behalf of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Executive may engage in civic, educational and not-for-profit activities (</w:t>
      </w:r>
      <w:r>
        <w:rPr>
          <w:rFonts w:ascii="Arial" w:cs="Arial" w:eastAsia="Arial" w:hAnsi="Arial"/>
          <w:sz w:val="18"/>
          <w:szCs w:val="18"/>
          <w:i w:val="1"/>
          <w:iCs w:val="1"/>
          <w:color w:val="auto"/>
        </w:rPr>
        <w:t>e.g.</w:t>
      </w:r>
      <w:r>
        <w:rPr>
          <w:rFonts w:ascii="Arial" w:cs="Arial" w:eastAsia="Arial" w:hAnsi="Arial"/>
          <w:sz w:val="18"/>
          <w:szCs w:val="18"/>
          <w:color w:val="auto"/>
        </w:rPr>
        <w:t xml:space="preserve"> charitable, university affiliation and industry association activities) as long as such activities do not materially interfere with Executive’s obligations hereunder or conflict with the interests of Company. During Executive’s employment with Company, Executive agrees not to engage in any business or for-profit activities outside Company, including serving on any advisory boards or boards of directors of for-profit entities other than in a representative capacity for the Company or its affiliates, except with the prior written approval of the CEO, which approval may be rescinded at any time in the CEO’s sole discretion; provided however, that in the event of such rescission Executive shall be permitted reasonable time for orderly withdrawal from any board with respect to which such consent has been rescinded. By signing this Agreement, Executive represents that, to the best of Executive’s knowledge, Executive is not subject to any other contract or duty that would interfere in any way with Executive’s employment with Company or performance of employment duties hereunder.</w:t>
      </w:r>
    </w:p>
    <w:p>
      <w:pPr>
        <w:spacing w:after="0" w:line="163" w:lineRule="exact"/>
        <w:rPr>
          <w:rFonts w:ascii="Arial" w:cs="Arial" w:eastAsia="Arial" w:hAnsi="Arial"/>
          <w:sz w:val="18"/>
          <w:szCs w:val="18"/>
          <w:b w:val="1"/>
          <w:bCs w:val="1"/>
          <w:color w:val="auto"/>
        </w:rPr>
      </w:pPr>
    </w:p>
    <w:p>
      <w:pPr>
        <w:ind w:firstLine="8"/>
        <w:spacing w:after="0" w:line="267" w:lineRule="auto"/>
        <w:tabs>
          <w:tab w:leader="none" w:pos="436"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POLICIES AND PROCEDURES. </w:t>
      </w:r>
      <w:r>
        <w:rPr>
          <w:rFonts w:ascii="Arial" w:cs="Arial" w:eastAsia="Arial" w:hAnsi="Arial"/>
          <w:sz w:val="20"/>
          <w:szCs w:val="20"/>
          <w:color w:val="auto"/>
        </w:rPr>
        <w:t>Executive shall be subject to and will comply with the policies and procedures of Company, as</w:t>
      </w:r>
      <w:r>
        <w:rPr>
          <w:rFonts w:ascii="Arial" w:cs="Arial" w:eastAsia="Arial" w:hAnsi="Arial"/>
          <w:sz w:val="20"/>
          <w:szCs w:val="20"/>
          <w:b w:val="1"/>
          <w:bCs w:val="1"/>
          <w:color w:val="auto"/>
        </w:rPr>
        <w:t xml:space="preserve"> </w:t>
      </w:r>
      <w:r>
        <w:rPr>
          <w:rFonts w:ascii="Arial" w:cs="Arial" w:eastAsia="Arial" w:hAnsi="Arial"/>
          <w:sz w:val="20"/>
          <w:szCs w:val="20"/>
          <w:color w:val="auto"/>
        </w:rPr>
        <w:t>modified from time to time at Company’s sole discretion, except to the extent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any such policy or procedure specifically conflicts with the express terms of this Agreement (in which case, this Agreement shall control).</w:t>
      </w:r>
    </w:p>
    <w:p>
      <w:pPr>
        <w:spacing w:after="0" w:line="233" w:lineRule="exact"/>
        <w:rPr>
          <w:sz w:val="20"/>
          <w:szCs w:val="20"/>
          <w:color w:val="auto"/>
        </w:rPr>
      </w:pPr>
    </w:p>
    <w:p>
      <w:pPr>
        <w:jc w:val="both"/>
        <w:ind w:firstLine="8"/>
        <w:spacing w:after="0" w:line="277" w:lineRule="auto"/>
        <w:tabs>
          <w:tab w:leader="none" w:pos="342"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For services rendered hereunder, Executive shall receive an initial base salary at the rate of $525,000 per year,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payroll withholdings and deductions, which shall be deemed to have been effective as of November 1, 2018, and an initial true-up payment will be made within fifteen (15) days of the Execution Date. Otherwise, such base salary amount will be paid periodically in accordance with ordinary Company payroll practices. Executive’s base salary shall be subject to annual reviews and periodic adjustment by the Compensation Committee of the Board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which has full discretion to adjust Executive’s base salary. (For purposes of this Agreement, Executive’s base salary as so adjusted from time to time, shall be referred to as the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60" w:lineRule="exact"/>
        <w:rPr>
          <w:rFonts w:ascii="Arial" w:cs="Arial" w:eastAsia="Arial" w:hAnsi="Arial"/>
          <w:sz w:val="18"/>
          <w:szCs w:val="18"/>
          <w:b w:val="1"/>
          <w:bCs w:val="1"/>
          <w:color w:val="auto"/>
        </w:rPr>
      </w:pPr>
    </w:p>
    <w:p>
      <w:pPr>
        <w:jc w:val="both"/>
        <w:ind w:firstLine="8"/>
        <w:spacing w:after="0" w:line="270" w:lineRule="auto"/>
        <w:tabs>
          <w:tab w:leader="none" w:pos="382"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BONUS. </w:t>
      </w:r>
      <w:r>
        <w:rPr>
          <w:rFonts w:ascii="Arial" w:cs="Arial" w:eastAsia="Arial" w:hAnsi="Arial"/>
          <w:sz w:val="18"/>
          <w:szCs w:val="18"/>
          <w:color w:val="auto"/>
        </w:rPr>
        <w:t>Executive will be eligible to receive an annual performance bonus (“</w:t>
      </w:r>
      <w:r>
        <w:rPr>
          <w:rFonts w:ascii="Arial" w:cs="Arial" w:eastAsia="Arial" w:hAnsi="Arial"/>
          <w:sz w:val="18"/>
          <w:szCs w:val="18"/>
          <w:b w:val="1"/>
          <w:bCs w:val="1"/>
          <w:color w:val="auto"/>
        </w:rPr>
        <w:t>Performance Bonus</w:t>
      </w:r>
      <w:r>
        <w:rPr>
          <w:rFonts w:ascii="Arial" w:cs="Arial" w:eastAsia="Arial" w:hAnsi="Arial"/>
          <w:sz w:val="18"/>
          <w:szCs w:val="18"/>
          <w:color w:val="auto"/>
        </w:rPr>
        <w:t>”), with a target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level (the </w:t>
      </w:r>
      <w:r>
        <w:rPr>
          <w:rFonts w:ascii="Arial" w:cs="Arial" w:eastAsia="Arial" w:hAnsi="Arial"/>
          <w:sz w:val="18"/>
          <w:szCs w:val="18"/>
          <w:b w:val="1"/>
          <w:bCs w:val="1"/>
          <w:color w:val="auto"/>
        </w:rPr>
        <w:t>“Bonus Target”</w:t>
      </w:r>
      <w:r>
        <w:rPr>
          <w:rFonts w:ascii="Arial" w:cs="Arial" w:eastAsia="Arial" w:hAnsi="Arial"/>
          <w:sz w:val="18"/>
          <w:szCs w:val="18"/>
          <w:color w:val="auto"/>
        </w:rPr>
        <w:t>) determined pursuant to Company’s Incentive Performance Plan (the “</w:t>
      </w:r>
      <w:r>
        <w:rPr>
          <w:rFonts w:ascii="Arial" w:cs="Arial" w:eastAsia="Arial" w:hAnsi="Arial"/>
          <w:sz w:val="18"/>
          <w:szCs w:val="18"/>
          <w:b w:val="1"/>
          <w:bCs w:val="1"/>
          <w:color w:val="auto"/>
        </w:rPr>
        <w:t>IPP</w:t>
      </w:r>
      <w:r>
        <w:rPr>
          <w:rFonts w:ascii="Arial" w:cs="Arial" w:eastAsia="Arial" w:hAnsi="Arial"/>
          <w:sz w:val="18"/>
          <w:szCs w:val="18"/>
          <w:color w:val="auto"/>
        </w:rPr>
        <w:t>”). The Board or its Compensation Committee will use best efforts to determine the Bonus Target for each year no later than March 31 of such year. The annual amount of such Performance Bonus shall be determined in the sole discretion of the Board or by its Compensation Committee (under authority delegated by the Board), based upon a review of both Executive's individual performance and Company’s performance, pursuant to Company’s IPP. The Board or the Compensation Committee, in their sole discretion, shall determine: the extent to which both Company and Executive have achieved any corporate or individual performance goals or targets, or other terms and conditions applicable to the Performance Bonus; the amount of the Performance Bonus (if any); and whether and to what extent a Performance Bonus may be paid with respect to any year during which Executive's employment terminates, subject to the terms and conditions of this Agreement. Performance Bonuses are not earned until they are approved in writing by the Board or Compensation Committee and paid to senior executive officers of Company. Any Performance Bonuses earned shall be paid subject to applicable employment taxes, withholding and deductions. Except as otherwise expressly provided in this Agreement, Executive must remain continuously employed with Company through the date that Performance Bonuses are generally paid to senior executive officers of Company in order to be eligible to receive such Performance Bonus.</w:t>
      </w:r>
    </w:p>
    <w:p>
      <w:pPr>
        <w:spacing w:after="0" w:line="173" w:lineRule="exact"/>
        <w:rPr>
          <w:rFonts w:ascii="Arial" w:cs="Arial" w:eastAsia="Arial" w:hAnsi="Arial"/>
          <w:sz w:val="18"/>
          <w:szCs w:val="18"/>
          <w:b w:val="1"/>
          <w:bCs w:val="1"/>
          <w:color w:val="auto"/>
        </w:rPr>
      </w:pPr>
    </w:p>
    <w:p>
      <w:pPr>
        <w:ind w:left="340" w:hanging="332"/>
        <w:spacing w:after="0"/>
        <w:tabs>
          <w:tab w:leader="none" w:pos="340"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BENEFITS. </w:t>
      </w:r>
      <w:r>
        <w:rPr>
          <w:rFonts w:ascii="Arial" w:cs="Arial" w:eastAsia="Arial" w:hAnsi="Arial"/>
          <w:sz w:val="19"/>
          <w:szCs w:val="19"/>
          <w:color w:val="auto"/>
        </w:rPr>
        <w:t>While employed by Company pursuant to this Agreement, Executive shall be entitled to the following benefits:</w:t>
      </w:r>
    </w:p>
    <w:p>
      <w:pPr>
        <w:spacing w:after="0" w:line="227" w:lineRule="exact"/>
        <w:rPr>
          <w:rFonts w:ascii="Arial" w:cs="Arial" w:eastAsia="Arial" w:hAnsi="Arial"/>
          <w:sz w:val="19"/>
          <w:szCs w:val="19"/>
          <w:b w:val="1"/>
          <w:bCs w:val="1"/>
          <w:color w:val="auto"/>
        </w:rPr>
      </w:pPr>
    </w:p>
    <w:p>
      <w:pPr>
        <w:jc w:val="both"/>
        <w:ind w:firstLine="656"/>
        <w:spacing w:after="0" w:line="280" w:lineRule="auto"/>
        <w:tabs>
          <w:tab w:leader="none" w:pos="1099" w:val="left"/>
        </w:tabs>
        <w:numPr>
          <w:ilvl w:val="1"/>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Benefits</w:t>
      </w:r>
      <w:r>
        <w:rPr>
          <w:rFonts w:ascii="Arial" w:cs="Arial" w:eastAsia="Arial" w:hAnsi="Arial"/>
          <w:sz w:val="18"/>
          <w:szCs w:val="18"/>
          <w:color w:val="auto"/>
        </w:rPr>
        <w:t>. Executive shall be entitled to all benefits to which other executive officers of Company are entitled,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and conditions in effect from time to time, including, without limitation, participation in pension and profit sharing plans, Company’s 401(k) plan, group insurance policies and plans (including medical, health, vision, and disability insurance policies and plans, and the like), and executive perquisites, which may be maintained by Company for the benefit of its executives. Company reserves the right to alter, discontinue and/or amend its benefit plans and programs, as well as any executive perquisites, from time to time in its sole discretion.</w:t>
      </w:r>
    </w:p>
    <w:p>
      <w:pPr>
        <w:spacing w:after="0" w:line="156" w:lineRule="exact"/>
        <w:rPr>
          <w:rFonts w:ascii="Arial" w:cs="Arial" w:eastAsia="Arial" w:hAnsi="Arial"/>
          <w:sz w:val="18"/>
          <w:szCs w:val="18"/>
          <w:b w:val="1"/>
          <w:bCs w:val="1"/>
          <w:color w:val="auto"/>
        </w:rPr>
      </w:pPr>
    </w:p>
    <w:p>
      <w:pPr>
        <w:jc w:val="both"/>
        <w:ind w:firstLine="656"/>
        <w:spacing w:after="0" w:line="248" w:lineRule="auto"/>
        <w:tabs>
          <w:tab w:leader="none" w:pos="1111" w:val="left"/>
        </w:tabs>
        <w:numPr>
          <w:ilvl w:val="1"/>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Expense Reimbursement. </w:t>
      </w:r>
      <w:r>
        <w:rPr>
          <w:rFonts w:ascii="Arial" w:cs="Arial" w:eastAsia="Arial" w:hAnsi="Arial"/>
          <w:sz w:val="20"/>
          <w:szCs w:val="20"/>
          <w:color w:val="auto"/>
        </w:rPr>
        <w:t>Executive shall receive reimbursement for reasonable out-of-pocket expenses incurred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performance of Executive’s duties hereunder, including, but not limited to, any business travel on behalf of Company or its subsidiaries, in accordance with Company’s expense reimbursement policies and procedures in effect from time to time, including a requirement for specific itemization and documentation of such expenses.</w:t>
      </w:r>
    </w:p>
    <w:p>
      <w:pPr>
        <w:spacing w:after="0" w:line="183" w:lineRule="exact"/>
        <w:rPr>
          <w:rFonts w:ascii="Arial" w:cs="Arial" w:eastAsia="Arial" w:hAnsi="Arial"/>
          <w:sz w:val="20"/>
          <w:szCs w:val="20"/>
          <w:b w:val="1"/>
          <w:bCs w:val="1"/>
          <w:color w:val="auto"/>
        </w:rPr>
      </w:pPr>
    </w:p>
    <w:p>
      <w:pPr>
        <w:ind w:left="340" w:hanging="332"/>
        <w:spacing w:after="0"/>
        <w:tabs>
          <w:tab w:leader="none" w:pos="340"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 RIGHTS AND DUTIES.</w:t>
      </w:r>
    </w:p>
    <w:p>
      <w:pPr>
        <w:spacing w:after="0" w:line="215" w:lineRule="exact"/>
        <w:rPr>
          <w:rFonts w:ascii="Arial" w:cs="Arial" w:eastAsia="Arial" w:hAnsi="Arial"/>
          <w:sz w:val="20"/>
          <w:szCs w:val="20"/>
          <w:b w:val="1"/>
          <w:bCs w:val="1"/>
          <w:color w:val="auto"/>
        </w:rPr>
      </w:pPr>
    </w:p>
    <w:p>
      <w:pPr>
        <w:ind w:firstLine="656"/>
        <w:spacing w:after="0" w:line="267" w:lineRule="auto"/>
        <w:tabs>
          <w:tab w:leader="none" w:pos="1167" w:val="left"/>
        </w:tabs>
        <w:numPr>
          <w:ilvl w:val="1"/>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Executive agrees to execute and abide by the Employee Confidential Information and Invention</w:t>
      </w:r>
      <w:r>
        <w:rPr>
          <w:rFonts w:ascii="Arial" w:cs="Arial" w:eastAsia="Arial" w:hAnsi="Arial"/>
          <w:sz w:val="20"/>
          <w:szCs w:val="20"/>
          <w:b w:val="1"/>
          <w:bCs w:val="1"/>
          <w:color w:val="auto"/>
        </w:rPr>
        <w:t xml:space="preserve"> </w:t>
      </w:r>
      <w:r>
        <w:rPr>
          <w:rFonts w:ascii="Arial" w:cs="Arial" w:eastAsia="Arial" w:hAnsi="Arial"/>
          <w:sz w:val="20"/>
          <w:szCs w:val="20"/>
          <w:color w:val="auto"/>
        </w:rPr>
        <w:t>Assignment Agreement (the “</w:t>
      </w:r>
      <w:r>
        <w:rPr>
          <w:rFonts w:ascii="Arial" w:cs="Arial" w:eastAsia="Arial" w:hAnsi="Arial"/>
          <w:sz w:val="20"/>
          <w:szCs w:val="20"/>
          <w:b w:val="1"/>
          <w:bCs w:val="1"/>
          <w:color w:val="auto"/>
        </w:rPr>
        <w:t>Confidential Information Agreement</w:t>
      </w:r>
      <w:r>
        <w:rPr>
          <w:rFonts w:ascii="Arial" w:cs="Arial" w:eastAsia="Arial" w:hAnsi="Arial"/>
          <w:sz w:val="20"/>
          <w:szCs w:val="20"/>
          <w:color w:val="auto"/>
        </w:rPr>
        <w:t xml:space="preserve">”),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108" w:name="page109"/>
    <w:bookmarkEnd w:id="108"/>
    <w:p>
      <w:pPr>
        <w:jc w:val="both"/>
        <w:ind w:firstLine="656"/>
        <w:spacing w:after="0" w:line="253" w:lineRule="auto"/>
        <w:tabs>
          <w:tab w:leader="none" w:pos="1219" w:val="left"/>
        </w:tabs>
        <w:numPr>
          <w:ilvl w:val="1"/>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Exclusive Property</w:t>
      </w:r>
      <w:r>
        <w:rPr>
          <w:rFonts w:ascii="Arial" w:cs="Arial" w:eastAsia="Arial" w:hAnsi="Arial"/>
          <w:sz w:val="20"/>
          <w:szCs w:val="20"/>
          <w:color w:val="auto"/>
        </w:rPr>
        <w:t>. Executive agrees that all Company-related business procured by Executive, and all Company-related</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opportunities and plans made known to Executive while employed by Company, are and shall remain the permanent and exclusive property of Company.</w:t>
      </w:r>
    </w:p>
    <w:p>
      <w:pPr>
        <w:spacing w:after="0" w:line="177" w:lineRule="exact"/>
        <w:rPr>
          <w:rFonts w:ascii="Arial" w:cs="Arial" w:eastAsia="Arial" w:hAnsi="Arial"/>
          <w:sz w:val="20"/>
          <w:szCs w:val="20"/>
          <w:b w:val="1"/>
          <w:bCs w:val="1"/>
          <w:color w:val="auto"/>
        </w:rPr>
      </w:pPr>
    </w:p>
    <w:p>
      <w:pPr>
        <w:ind w:left="340" w:hanging="332"/>
        <w:spacing w:after="0"/>
        <w:tabs>
          <w:tab w:leader="none" w:pos="34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w:t>
      </w:r>
    </w:p>
    <w:p>
      <w:pPr>
        <w:spacing w:after="0" w:line="215" w:lineRule="exact"/>
        <w:rPr>
          <w:rFonts w:ascii="Arial" w:cs="Arial" w:eastAsia="Arial" w:hAnsi="Arial"/>
          <w:sz w:val="20"/>
          <w:szCs w:val="20"/>
          <w:b w:val="1"/>
          <w:bCs w:val="1"/>
          <w:color w:val="auto"/>
        </w:rPr>
      </w:pPr>
    </w:p>
    <w:p>
      <w:pPr>
        <w:jc w:val="both"/>
        <w:ind w:firstLine="656"/>
        <w:spacing w:after="0" w:line="246" w:lineRule="auto"/>
        <w:tabs>
          <w:tab w:leader="none" w:pos="1059" w:val="left"/>
        </w:tabs>
        <w:numPr>
          <w:ilvl w:val="1"/>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At-Will Status. </w:t>
      </w:r>
      <w:r>
        <w:rPr>
          <w:rFonts w:ascii="Arial" w:cs="Arial" w:eastAsia="Arial" w:hAnsi="Arial"/>
          <w:sz w:val="20"/>
          <w:szCs w:val="20"/>
          <w:color w:val="auto"/>
        </w:rPr>
        <w:t>Company and Executive understand and agree that this employment relationship is at-will. Accordingly, there are</w:t>
      </w:r>
      <w:r>
        <w:rPr>
          <w:rFonts w:ascii="Arial" w:cs="Arial" w:eastAsia="Arial" w:hAnsi="Arial"/>
          <w:sz w:val="20"/>
          <w:szCs w:val="20"/>
          <w:b w:val="1"/>
          <w:bCs w:val="1"/>
          <w:color w:val="auto"/>
        </w:rPr>
        <w:t xml:space="preserve"> </w:t>
      </w:r>
      <w:r>
        <w:rPr>
          <w:rFonts w:ascii="Arial" w:cs="Arial" w:eastAsia="Arial" w:hAnsi="Arial"/>
          <w:sz w:val="20"/>
          <w:szCs w:val="20"/>
          <w:color w:val="auto"/>
        </w:rPr>
        <w:t>no promises or representations concerning the duration of Executive’s employment relationship, which may be terminated by either Executive or Company at any time, with or without Cause or Good Reason (as defined herein), and with or without advance notice. Executive’s at-will status cannot be altered except in an express written agreement signed by Executive and Company with specific written approval of Company’s Board.</w:t>
      </w:r>
    </w:p>
    <w:p>
      <w:pPr>
        <w:spacing w:after="0" w:line="185" w:lineRule="exact"/>
        <w:rPr>
          <w:rFonts w:ascii="Arial" w:cs="Arial" w:eastAsia="Arial" w:hAnsi="Arial"/>
          <w:sz w:val="20"/>
          <w:szCs w:val="20"/>
          <w:b w:val="1"/>
          <w:bCs w:val="1"/>
          <w:color w:val="auto"/>
        </w:rPr>
      </w:pPr>
    </w:p>
    <w:p>
      <w:pPr>
        <w:jc w:val="both"/>
        <w:ind w:firstLine="656"/>
        <w:spacing w:after="0" w:line="280" w:lineRule="auto"/>
        <w:tabs>
          <w:tab w:leader="none" w:pos="1111" w:val="left"/>
        </w:tabs>
        <w:numPr>
          <w:ilvl w:val="1"/>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Resignation by Executive. </w:t>
      </w:r>
      <w:r>
        <w:rPr>
          <w:rFonts w:ascii="Arial" w:cs="Arial" w:eastAsia="Arial" w:hAnsi="Arial"/>
          <w:sz w:val="18"/>
          <w:szCs w:val="18"/>
          <w:color w:val="auto"/>
        </w:rPr>
        <w:t>Executive may resign from Company with or without Good Reason. Executive agrees to provide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three (3) weeks advance written notice of a resignation without Good Reason, to allow for an orderly transition. Company may accelerate the date Executive’s resignation is to become effective, in its sole discretion. In the event Company accelerates the resignation effective date, Executive will be paid Base Salary severance through the originally tendered resignation date, provided that in no such event will Executive be entitled under this paragraph 9(b) to receive more than three (3) months of Base Salary severance beyond the accelerated resignation date.</w:t>
      </w:r>
    </w:p>
    <w:p>
      <w:pPr>
        <w:spacing w:after="0" w:line="156" w:lineRule="exact"/>
        <w:rPr>
          <w:rFonts w:ascii="Arial" w:cs="Arial" w:eastAsia="Arial" w:hAnsi="Arial"/>
          <w:sz w:val="18"/>
          <w:szCs w:val="18"/>
          <w:b w:val="1"/>
          <w:bCs w:val="1"/>
          <w:color w:val="auto"/>
        </w:rPr>
      </w:pPr>
    </w:p>
    <w:p>
      <w:pPr>
        <w:jc w:val="both"/>
        <w:ind w:firstLine="656"/>
        <w:spacing w:after="0" w:line="258" w:lineRule="auto"/>
        <w:tabs>
          <w:tab w:leader="none" w:pos="1088" w:val="left"/>
        </w:tabs>
        <w:numPr>
          <w:ilvl w:val="1"/>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Cause.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for Company to terminate Executive shall mean: (i)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conviction or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felony; (ii) Executive’s willful misconduct in performing Executive’s duties, where such misconduct has had or is reasonably likely to have a material adverse effect upon Company; or (iii) any material breach of this Agreement, the Confidential Information Agreement, any other fully executed agreement with Company, or Company’s policies. Notwithstanding the foregoing, if any act or omission giving rise to Cause is reasonably capable of cure, “</w:t>
      </w:r>
      <w:r>
        <w:rPr>
          <w:rFonts w:ascii="Arial" w:cs="Arial" w:eastAsia="Arial" w:hAnsi="Arial"/>
          <w:sz w:val="19"/>
          <w:szCs w:val="19"/>
          <w:b w:val="1"/>
          <w:bCs w:val="1"/>
          <w:color w:val="auto"/>
        </w:rPr>
        <w:t>Cause</w:t>
      </w:r>
      <w:r>
        <w:rPr>
          <w:rFonts w:ascii="Arial" w:cs="Arial" w:eastAsia="Arial" w:hAnsi="Arial"/>
          <w:sz w:val="19"/>
          <w:szCs w:val="19"/>
          <w:color w:val="auto"/>
        </w:rPr>
        <w:t xml:space="preserve">” for Company to terminate Executive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exist unless: (x) Company provides Executive with specific written notice of the existence of the condition giving rise to Cause within thirty (30) days after the condition giving rise to Cause was first reasonably discoverable by Company; and (y) Executive fails to cure such condition within thirty (30) days after Executive’s receipt of such written notice.</w:t>
      </w:r>
    </w:p>
    <w:p>
      <w:pPr>
        <w:spacing w:after="0" w:line="173" w:lineRule="exact"/>
        <w:rPr>
          <w:rFonts w:ascii="Arial" w:cs="Arial" w:eastAsia="Arial" w:hAnsi="Arial"/>
          <w:sz w:val="19"/>
          <w:szCs w:val="19"/>
          <w:b w:val="1"/>
          <w:bCs w:val="1"/>
          <w:color w:val="auto"/>
        </w:rPr>
      </w:pPr>
    </w:p>
    <w:p>
      <w:pPr>
        <w:jc w:val="both"/>
        <w:ind w:firstLine="656"/>
        <w:spacing w:after="0" w:line="255" w:lineRule="auto"/>
        <w:tabs>
          <w:tab w:leader="none" w:pos="1151" w:val="left"/>
        </w:tabs>
        <w:numPr>
          <w:ilvl w:val="1"/>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Good Reason.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means the occurrence of any of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Executive’s prior written consent: (i) one or more reductions in Executive’s combined Base Salary and Bonus Target that result in a total reduction of more than ten percent (10%) in Executive’s target package (which consists of the combined cash value of the Base Salary and Bonus Target, irrespective of the actual amount of any Performance Bonus awarded) over the twelve (12) month period immediately preceding such reductions, unless such reductions are made pursuant to one or more across-the-board reductions of all senior executives’ base salaries and/or bonus targets; (ii) a material diminution of Executive’s duties, authority or responsibilities taken as a whole; or (iii) an involuntary relocation of Executive’s principal place of employment to a location that increases Executive’s one-way commute from Executive’s principal residence by more than fifty (50) miles. For avoidance of doubt, any change resulting in Executive no longer reporting to the CEO shall constitute a material diminution of Executive’s duties, authorities, or responsibilities as set forth in clause (ii) above in this paragraph. Notwithstanding the foregoing, “</w:t>
      </w:r>
      <w:r>
        <w:rPr>
          <w:rFonts w:ascii="Arial" w:cs="Arial" w:eastAsia="Arial" w:hAnsi="Arial"/>
          <w:sz w:val="19"/>
          <w:szCs w:val="19"/>
          <w:b w:val="1"/>
          <w:bCs w:val="1"/>
          <w:color w:val="auto"/>
        </w:rPr>
        <w:t>Good Reason</w:t>
      </w:r>
      <w:r>
        <w:rPr>
          <w:rFonts w:ascii="Arial" w:cs="Arial" w:eastAsia="Arial" w:hAnsi="Arial"/>
          <w:sz w:val="19"/>
          <w:szCs w:val="19"/>
          <w:color w:val="auto"/>
        </w:rPr>
        <w:t xml:space="preserve">” for Executive to resign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exist unless: (x) Executive provides Company with specific written notice of the existence of the condition giving rise to Good Reason within ninety (90) days after its initial occurrence; (y) Company fails to remedy such condition within thirty (30) days after its receipt of such written notice; and (z) Executive resigns within ninety (90) days after the cure period has lapsed.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109" w:name="page110"/>
    <w:bookmarkEnd w:id="109"/>
    <w:p>
      <w:pPr>
        <w:jc w:val="both"/>
        <w:ind w:firstLine="656"/>
        <w:spacing w:after="0" w:line="245" w:lineRule="auto"/>
        <w:tabs>
          <w:tab w:leader="none" w:pos="1102"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Final Pay upon Termination for Any Reason. </w:t>
      </w:r>
      <w:r>
        <w:rPr>
          <w:rFonts w:ascii="Arial" w:cs="Arial" w:eastAsia="Arial" w:hAnsi="Arial"/>
          <w:sz w:val="20"/>
          <w:szCs w:val="20"/>
          <w:color w:val="auto"/>
        </w:rPr>
        <w:t>Except as otherwise provided by this Agreement and/or required by law, upon</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Executive’s employment for any reason, Company’s obligation to make payments hereunder shall cease, except that Company shall pay all amounts due and payable for Executive’s services through Executive’s last day of employment (the “</w:t>
      </w:r>
      <w:r>
        <w:rPr>
          <w:rFonts w:ascii="Arial" w:cs="Arial" w:eastAsia="Arial" w:hAnsi="Arial"/>
          <w:sz w:val="20"/>
          <w:szCs w:val="20"/>
          <w:b w:val="1"/>
          <w:bCs w:val="1"/>
          <w:color w:val="auto"/>
        </w:rPr>
        <w:t>Separation Date</w:t>
      </w:r>
      <w:r>
        <w:rPr>
          <w:rFonts w:ascii="Arial" w:cs="Arial" w:eastAsia="Arial" w:hAnsi="Arial"/>
          <w:sz w:val="20"/>
          <w:szCs w:val="20"/>
          <w:color w:val="auto"/>
        </w:rPr>
        <w:t>”), including all accrued unpaid Base Salary and Performance Bonus compensation earned through Separation Date, any benefits accrued prior to the Separation Date, all accrued but unused vacation as of the Separation Date, and any reimbursable business expenses incurred but unreimbursed as of the Separation Date.</w:t>
      </w:r>
    </w:p>
    <w:p>
      <w:pPr>
        <w:spacing w:after="0" w:line="185" w:lineRule="exact"/>
        <w:rPr>
          <w:rFonts w:ascii="Arial" w:cs="Arial" w:eastAsia="Arial" w:hAnsi="Arial"/>
          <w:sz w:val="20"/>
          <w:szCs w:val="20"/>
          <w:b w:val="1"/>
          <w:bCs w:val="1"/>
          <w:color w:val="auto"/>
        </w:rPr>
      </w:pPr>
    </w:p>
    <w:p>
      <w:pPr>
        <w:ind w:left="1040" w:hanging="384"/>
        <w:spacing w:after="0"/>
        <w:tabs>
          <w:tab w:leader="none" w:pos="104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Severance Benefits upon a Covered Termination (No Change in Control).</w:t>
      </w:r>
    </w:p>
    <w:p>
      <w:pPr>
        <w:spacing w:after="0" w:line="242" w:lineRule="exact"/>
        <w:rPr>
          <w:rFonts w:ascii="Arial" w:cs="Arial" w:eastAsia="Arial" w:hAnsi="Arial"/>
          <w:sz w:val="20"/>
          <w:szCs w:val="20"/>
          <w:b w:val="1"/>
          <w:bCs w:val="1"/>
          <w:color w:val="auto"/>
        </w:rPr>
      </w:pPr>
    </w:p>
    <w:p>
      <w:pPr>
        <w:jc w:val="both"/>
        <w:ind w:firstLine="1305"/>
        <w:spacing w:after="0" w:line="299" w:lineRule="auto"/>
        <w:tabs>
          <w:tab w:leader="none" w:pos="1856" w:val="left"/>
        </w:tabs>
        <w:numPr>
          <w:ilvl w:val="1"/>
          <w:numId w:val="112"/>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Executive’s employment is terminated by Company without Cause or due to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for Good Reason (each a “</w:t>
      </w:r>
      <w:r>
        <w:rPr>
          <w:rFonts w:ascii="Arial" w:cs="Arial" w:eastAsia="Arial" w:hAnsi="Arial"/>
          <w:sz w:val="18"/>
          <w:szCs w:val="18"/>
          <w:b w:val="1"/>
          <w:bCs w:val="1"/>
          <w:color w:val="auto"/>
        </w:rPr>
        <w:t>Covered Termination</w:t>
      </w:r>
      <w:r>
        <w:rPr>
          <w:rFonts w:ascii="Arial" w:cs="Arial" w:eastAsia="Arial" w:hAnsi="Arial"/>
          <w:sz w:val="18"/>
          <w:szCs w:val="18"/>
          <w:color w:val="auto"/>
        </w:rPr>
        <w:t>”), Executive shall be eligible to receive the following severance benefits: (1) payment of a severance amount equal to twenty-four (24) months of Executive’s Base Salary in effect immediately prior to the Separation Date (or, the level in effect prior to a reduction of Base Salary that constitutes Good Reason), less applicable payroll tax withholdings and deductions (the “</w:t>
      </w:r>
      <w:r>
        <w:rPr>
          <w:rFonts w:ascii="Arial" w:cs="Arial" w:eastAsia="Arial" w:hAnsi="Arial"/>
          <w:sz w:val="18"/>
          <w:szCs w:val="18"/>
          <w:b w:val="1"/>
          <w:bCs w:val="1"/>
          <w:color w:val="auto"/>
        </w:rPr>
        <w:t>Cash Severance</w:t>
      </w:r>
      <w:r>
        <w:rPr>
          <w:rFonts w:ascii="Arial" w:cs="Arial" w:eastAsia="Arial" w:hAnsi="Arial"/>
          <w:sz w:val="18"/>
          <w:szCs w:val="18"/>
          <w:color w:val="auto"/>
        </w:rPr>
        <w:t>”); (2) a lump sum cash payment equal to the full amount of Executive’s Bonus Target for the fiscal year in which the Separation Date occurs, less applicable employment tax withholdings and deductions (the “</w:t>
      </w:r>
      <w:r>
        <w:rPr>
          <w:rFonts w:ascii="Arial" w:cs="Arial" w:eastAsia="Arial" w:hAnsi="Arial"/>
          <w:sz w:val="18"/>
          <w:szCs w:val="18"/>
          <w:b w:val="1"/>
          <w:bCs w:val="1"/>
          <w:color w:val="auto"/>
        </w:rPr>
        <w:t>Full Target Bonus</w:t>
      </w:r>
      <w:r>
        <w:rPr>
          <w:rFonts w:ascii="Arial" w:cs="Arial" w:eastAsia="Arial" w:hAnsi="Arial"/>
          <w:sz w:val="18"/>
          <w:szCs w:val="18"/>
          <w:color w:val="auto"/>
        </w:rPr>
        <w:t>”); (3) Executive’s then-outstanding equity awards (the “</w:t>
      </w:r>
      <w:r>
        <w:rPr>
          <w:rFonts w:ascii="Arial" w:cs="Arial" w:eastAsia="Arial" w:hAnsi="Arial"/>
          <w:sz w:val="18"/>
          <w:szCs w:val="18"/>
          <w:b w:val="1"/>
          <w:bCs w:val="1"/>
          <w:color w:val="auto"/>
        </w:rPr>
        <w:t>Equity Awards</w:t>
      </w:r>
      <w:r>
        <w:rPr>
          <w:rFonts w:ascii="Arial" w:cs="Arial" w:eastAsia="Arial" w:hAnsi="Arial"/>
          <w:sz w:val="18"/>
          <w:szCs w:val="18"/>
          <w:color w:val="auto"/>
        </w:rPr>
        <w:t>”) that vest based on time will be accelerated with respect to the portion of such Equity Awards that would have become vested if Executive remained employed for twelve (12) months after the Separation Date, unless otherwise provided in any time-based Equity Award granted after the Effective Date; provided that, any time-based Equity Awards that are subject to “cliff” vesting, will be converted to monthly vesting, if necessary, in order to effect such vesting acceleration; and (4) the exercise period applicable to the Equity Awards will be extended until the later of (A) the first (1st) anniversary of the Separation Date; or (B)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the avoidance of doubt, the vesting of Executive’s performance-based Equity Awards that were granted under the Company’s Long-Term Performance Share Award Agreement will continue to be governed under the terms of such document. In addition, provided Executive timely elects to continue Executive’s group health insurance coverage after the Separation Date pursuant to the federal COBRA law or applicable state insurance laws such as Cal-COBRA (collectively, “</w:t>
      </w:r>
      <w:r>
        <w:rPr>
          <w:rFonts w:ascii="Arial" w:cs="Arial" w:eastAsia="Arial" w:hAnsi="Arial"/>
          <w:sz w:val="18"/>
          <w:szCs w:val="18"/>
          <w:b w:val="1"/>
          <w:bCs w:val="1"/>
          <w:color w:val="auto"/>
        </w:rPr>
        <w:t>COBRA</w:t>
      </w:r>
      <w:r>
        <w:rPr>
          <w:rFonts w:ascii="Arial" w:cs="Arial" w:eastAsia="Arial" w:hAnsi="Arial"/>
          <w:sz w:val="18"/>
          <w:szCs w:val="18"/>
          <w:color w:val="auto"/>
        </w:rPr>
        <w:t>”), and the terms of the governing health insurance policies, Company will reimburse the monthly COBRA health insurance premiums (the “</w:t>
      </w:r>
      <w:r>
        <w:rPr>
          <w:rFonts w:ascii="Arial" w:cs="Arial" w:eastAsia="Arial" w:hAnsi="Arial"/>
          <w:sz w:val="18"/>
          <w:szCs w:val="18"/>
          <w:b w:val="1"/>
          <w:bCs w:val="1"/>
          <w:color w:val="auto"/>
        </w:rPr>
        <w:t>COBRA Payments</w:t>
      </w:r>
      <w:r>
        <w:rPr>
          <w:rFonts w:ascii="Arial" w:cs="Arial" w:eastAsia="Arial" w:hAnsi="Arial"/>
          <w:sz w:val="18"/>
          <w:szCs w:val="18"/>
          <w:color w:val="auto"/>
        </w:rPr>
        <w:t>”) Executive pays to continue Executive’s health insurance coverage (including dependent coverage) for twenty-four (24) months after the Separation Date, or until such earlier date as Executive either becomes eligible for group health insurance coverage through a new employer or ceases to be eligible for COBRA coverage (the “</w:t>
      </w:r>
      <w:r>
        <w:rPr>
          <w:rFonts w:ascii="Arial" w:cs="Arial" w:eastAsia="Arial" w:hAnsi="Arial"/>
          <w:sz w:val="18"/>
          <w:szCs w:val="18"/>
          <w:b w:val="1"/>
          <w:bCs w:val="1"/>
          <w:color w:val="auto"/>
        </w:rPr>
        <w:t>COBRA Payment Period</w:t>
      </w:r>
      <w:r>
        <w:rPr>
          <w:rFonts w:ascii="Arial" w:cs="Arial" w:eastAsia="Arial" w:hAnsi="Arial"/>
          <w:sz w:val="18"/>
          <w:szCs w:val="18"/>
          <w:color w:val="auto"/>
        </w:rPr>
        <w:t>”). Executive must submit to the Company appropriate documentation of the foregoing health insurance payments, within sixty (60) days of making such payments, in order to be reimbursed. Notwithstanding the foregoing, if Company determines, in its sole discretion, that it cannot pay the COBRA Payments without a substantial risk of violating applicable law (including, without limitation, Section 2716 of the Public Health Service Act), at the end of each remaining month of the COBRA Payment Period, Company shall pay Executive directly a taxable monthly amount which, after taxes, equals the COBRA Payment amount Company would have otherwise paid to Executive (assuming a 35% tax rate). Executive agrees to promptly notify Company in writing if Executive becomes eligible for group health insurance coverage through a new employer before the end of the specified reimbursement period. (All severance benefits provided in this entire subsection 8(f)(i) are referred to collectively as the “</w:t>
      </w:r>
      <w:r>
        <w:rPr>
          <w:rFonts w:ascii="Arial" w:cs="Arial" w:eastAsia="Arial" w:hAnsi="Arial"/>
          <w:sz w:val="18"/>
          <w:szCs w:val="18"/>
          <w:b w:val="1"/>
          <w:bCs w:val="1"/>
          <w:color w:val="auto"/>
        </w:rPr>
        <w:t>Severance Benefits.</w:t>
      </w:r>
      <w:r>
        <w:rPr>
          <w:rFonts w:ascii="Arial" w:cs="Arial" w:eastAsia="Arial" w:hAnsi="Arial"/>
          <w:sz w:val="18"/>
          <w:szCs w:val="18"/>
          <w:color w:val="auto"/>
        </w:rPr>
        <w:t>”)</w:t>
      </w:r>
    </w:p>
    <w:p>
      <w:pPr>
        <w:spacing w:after="0" w:line="179" w:lineRule="exact"/>
        <w:rPr>
          <w:rFonts w:ascii="Arial" w:cs="Arial" w:eastAsia="Arial" w:hAnsi="Arial"/>
          <w:sz w:val="19"/>
          <w:szCs w:val="19"/>
          <w:b w:val="1"/>
          <w:bCs w:val="1"/>
          <w:color w:val="auto"/>
        </w:rPr>
      </w:pPr>
    </w:p>
    <w:p>
      <w:pPr>
        <w:jc w:val="both"/>
        <w:ind w:firstLine="1305"/>
        <w:spacing w:after="0" w:line="268" w:lineRule="auto"/>
        <w:tabs>
          <w:tab w:leader="none" w:pos="1754" w:val="left"/>
        </w:tabs>
        <w:numPr>
          <w:ilvl w:val="1"/>
          <w:numId w:val="112"/>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Preconditions. </w:t>
      </w:r>
      <w:r>
        <w:rPr>
          <w:rFonts w:ascii="Arial" w:cs="Arial" w:eastAsia="Arial" w:hAnsi="Arial"/>
          <w:sz w:val="20"/>
          <w:szCs w:val="20"/>
          <w:color w:val="auto"/>
        </w:rPr>
        <w:t>As a precondition to receiving any Severance Benefits, Executive must (1) remain in compliance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continuing obligations Executive owes to Company, including those under this Agreement and Executive’s Confidential Information Agreement, and (2) within twenty-one (21)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110" w:name="page111"/>
    <w:bookmarkEnd w:id="110"/>
    <w:p>
      <w:pPr>
        <w:jc w:val="both"/>
        <w:spacing w:after="0" w:line="273" w:lineRule="auto"/>
        <w:rPr>
          <w:sz w:val="20"/>
          <w:szCs w:val="20"/>
          <w:color w:val="auto"/>
        </w:rPr>
      </w:pPr>
      <w:r>
        <w:rPr>
          <w:rFonts w:ascii="Arial" w:cs="Arial" w:eastAsia="Arial" w:hAnsi="Arial"/>
          <w:sz w:val="18"/>
          <w:szCs w:val="18"/>
          <w:color w:val="auto"/>
        </w:rPr>
        <w:t xml:space="preserve">days after the Separation Date (or forty-five (45) days after the Separation Date, in the event of a group reduction-in-force), Executive must sign and return to Company, a release of claims in substantially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Release</w:t>
      </w:r>
      <w:r>
        <w:rPr>
          <w:rFonts w:ascii="Arial" w:cs="Arial" w:eastAsia="Arial" w:hAnsi="Arial"/>
          <w:sz w:val="18"/>
          <w:szCs w:val="18"/>
          <w:color w:val="auto"/>
        </w:rPr>
        <w:t>”) (as modified, if necessary, to comply with legal requirements in the event of a group reduction-in-force) and allow the Release to become fully-effective and non-revocable by its terms. The Cash Severance will be paid in the form of continuing installments on Company’s ordinary payroll schedule, beginning on the first payroll date following the effective date of such Release. The Full Target Bonus will be paid on the next date on which bonuses are regularly scheduled to be paid, which in no event will be later than March 15 of the year following the year in which the Separation Date occurs. In the event the Release is not fully effective as of the next date on which bonuses are regularly scheduled to be paid, the Full Target Bonus will be paid within ten (10) business days following the effective date of such Release.</w:t>
      </w:r>
    </w:p>
    <w:p>
      <w:pPr>
        <w:spacing w:after="0" w:line="163" w:lineRule="exact"/>
        <w:rPr>
          <w:sz w:val="20"/>
          <w:szCs w:val="20"/>
          <w:color w:val="auto"/>
        </w:rPr>
      </w:pPr>
    </w:p>
    <w:p>
      <w:pPr>
        <w:jc w:val="both"/>
        <w:ind w:firstLine="656"/>
        <w:spacing w:after="0" w:line="274" w:lineRule="auto"/>
        <w:tabs>
          <w:tab w:leader="none" w:pos="1072" w:val="left"/>
        </w:tabs>
        <w:numPr>
          <w:ilvl w:val="1"/>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Due to Death or Disability. </w:t>
      </w:r>
      <w:r>
        <w:rPr>
          <w:rFonts w:ascii="Arial" w:cs="Arial" w:eastAsia="Arial" w:hAnsi="Arial"/>
          <w:sz w:val="18"/>
          <w:szCs w:val="18"/>
          <w:color w:val="auto"/>
        </w:rPr>
        <w:t>Subject to applicable state or federal law, Executive’s employment with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terminate upon Executive’s death or Disability. For purposes of this Agreement, “</w:t>
      </w:r>
      <w:r>
        <w:rPr>
          <w:rFonts w:ascii="Arial" w:cs="Arial" w:eastAsia="Arial" w:hAnsi="Arial"/>
          <w:sz w:val="18"/>
          <w:szCs w:val="18"/>
          <w:b w:val="1"/>
          <w:bCs w:val="1"/>
          <w:color w:val="auto"/>
        </w:rPr>
        <w:t>Disability</w:t>
      </w:r>
      <w:r>
        <w:rPr>
          <w:rFonts w:ascii="Arial" w:cs="Arial" w:eastAsia="Arial" w:hAnsi="Arial"/>
          <w:sz w:val="18"/>
          <w:szCs w:val="18"/>
          <w:color w:val="auto"/>
        </w:rPr>
        <w:t>” means a physical or mental condition or disability which prevents Executive from performing Executive’s job responsibilities for more than six (6) months in any twelve</w:t>
      </w:r>
    </w:p>
    <w:p>
      <w:pPr>
        <w:spacing w:after="0" w:line="1" w:lineRule="exact"/>
        <w:rPr>
          <w:rFonts w:ascii="Arial" w:cs="Arial" w:eastAsia="Arial" w:hAnsi="Arial"/>
          <w:sz w:val="18"/>
          <w:szCs w:val="18"/>
          <w:b w:val="1"/>
          <w:bCs w:val="1"/>
          <w:color w:val="auto"/>
        </w:rPr>
      </w:pPr>
    </w:p>
    <w:p>
      <w:pPr>
        <w:jc w:val="both"/>
        <w:ind w:firstLine="8"/>
        <w:spacing w:after="0" w:line="304" w:lineRule="auto"/>
        <w:tabs>
          <w:tab w:leader="none" w:pos="41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month period, or for more than four (4) consecutive months. If Executive’s employment is terminated due to Executive’s death or Disability, in addition to any benefits under Company’s standard life and disability insurance policies, Executive (or Executive’s designated beneficiaries or estate) shall be eligible to receive the following severance benefits: (i) a lump sum payment equal to the amount of Executive’s Bonus Target for the fiscal year in which the Separation Date occurs, prorated based on the Separation Date and less applicable employment tax withholdings and deductions; (ii) accelerated vesting of Executive’s performance-based Equity Awards, prorated as set forth in the applicable Equity Award agreements (i.e., for any long-term performance share awards, a pro rata portion of those performance shares which have not completed their performance cycle, based on the portion of the performance cycle completed as of the Separation Date and based on the actual performance at the end of such performance cycle); (iii) monthly prorated accelerated vesting of Executive’s time-based Equity Awards; and (iv) the exercise period applicable to the Equity Awards will be extended until the later of (1) the first (1st) anniversary of the Separation Date; or (2)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sake of reference, all severance benefits provided in this entire subsection 8(g) are referred to collectively as the “</w:t>
      </w:r>
      <w:r>
        <w:rPr>
          <w:rFonts w:ascii="Arial" w:cs="Arial" w:eastAsia="Arial" w:hAnsi="Arial"/>
          <w:sz w:val="16"/>
          <w:szCs w:val="16"/>
          <w:b w:val="1"/>
          <w:bCs w:val="1"/>
          <w:color w:val="auto"/>
        </w:rPr>
        <w:t>Death or Disability Severance Benefits</w:t>
      </w:r>
      <w:r>
        <w:rPr>
          <w:rFonts w:ascii="Arial" w:cs="Arial" w:eastAsia="Arial" w:hAnsi="Arial"/>
          <w:sz w:val="16"/>
          <w:szCs w:val="16"/>
          <w:color w:val="auto"/>
        </w:rPr>
        <w:t>”). The Death and Disability Severance Benefits shall be paid subject to the same preconditions and on the same terms and conditions applicable to the Severance Benefits, as set forth in Section 8(f)(ii) (Preconditions).</w:t>
      </w:r>
    </w:p>
    <w:p>
      <w:pPr>
        <w:spacing w:after="0" w:line="379"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 BENEFITS.</w:t>
      </w:r>
    </w:p>
    <w:p>
      <w:pPr>
        <w:spacing w:after="0" w:line="215" w:lineRule="exact"/>
        <w:rPr>
          <w:rFonts w:ascii="Arial" w:cs="Arial" w:eastAsia="Arial" w:hAnsi="Arial"/>
          <w:sz w:val="20"/>
          <w:szCs w:val="20"/>
          <w:b w:val="1"/>
          <w:bCs w:val="1"/>
          <w:color w:val="auto"/>
        </w:rPr>
      </w:pPr>
    </w:p>
    <w:p>
      <w:pPr>
        <w:jc w:val="both"/>
        <w:ind w:firstLine="656"/>
        <w:spacing w:after="0" w:line="272" w:lineRule="auto"/>
        <w:tabs>
          <w:tab w:leader="none" w:pos="1099"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Termination. </w:t>
      </w:r>
      <w:r>
        <w:rPr>
          <w:rFonts w:ascii="Arial" w:cs="Arial" w:eastAsia="Arial" w:hAnsi="Arial"/>
          <w:sz w:val="18"/>
          <w:szCs w:val="18"/>
          <w:color w:val="auto"/>
        </w:rPr>
        <w:t>If Executive’s employment with Company is terminated by Company without Cause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Executive’s death or Disability) or Executive resigns for Good Reason, and such termination or resignation occurs within the period beginning three (3) months before and ending twelve (12) months after a Change in Control (defined below) (each a “</w:t>
      </w:r>
      <w:r>
        <w:rPr>
          <w:rFonts w:ascii="Arial" w:cs="Arial" w:eastAsia="Arial" w:hAnsi="Arial"/>
          <w:sz w:val="18"/>
          <w:szCs w:val="18"/>
          <w:b w:val="1"/>
          <w:bCs w:val="1"/>
          <w:color w:val="auto"/>
        </w:rPr>
        <w:t>CIC Termination</w:t>
      </w:r>
      <w:r>
        <w:rPr>
          <w:rFonts w:ascii="Arial" w:cs="Arial" w:eastAsia="Arial" w:hAnsi="Arial"/>
          <w:sz w:val="18"/>
          <w:szCs w:val="18"/>
          <w:color w:val="auto"/>
        </w:rPr>
        <w:t>”), Executive shall be eligible to receive the following enhanced severance package (in lieu of the Severance Benefits described above): (i) payment of thirty-six (36) months of Executive’s Base Salary as in effect immediately prior to the Separation Date (or, the level in effect prior to a reduction of Base Salary that constitutes Good Reason), less applicable withholdings and deductions; (ii) a lump sum cash payment equal to the Full Target Bonus; (iii) accelerated vesting of Executive’s Equity Awards so that Executive becomes one hundred percent (100%) vested in all such Equity Awards, with the Equity Awards that vest based on performance being accelerated to the “target” level of achievement; and (iv) the exercise period applicable to the Equity Awards will be extended until the later of (1)the first (1st) anniversary of the Separation Date; or (2) the date provided in the applicable Equity Award agreement, but in no case longer than the expiration of the stated term of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111" w:name="page112"/>
    <w:bookmarkEnd w:id="111"/>
    <w:p>
      <w:pPr>
        <w:jc w:val="both"/>
        <w:spacing w:after="0" w:line="242" w:lineRule="auto"/>
        <w:rPr>
          <w:sz w:val="20"/>
          <w:szCs w:val="20"/>
          <w:color w:val="auto"/>
        </w:rPr>
      </w:pPr>
      <w:r>
        <w:rPr>
          <w:rFonts w:ascii="Arial" w:cs="Arial" w:eastAsia="Arial" w:hAnsi="Arial"/>
          <w:sz w:val="20"/>
          <w:szCs w:val="20"/>
          <w:color w:val="auto"/>
        </w:rPr>
        <w:t>Equity Award. Except for the foregoing accelerated vesting and extended exercise benefits, all existing terms and conditions applicable to the Equity Awards shall remain in full force and effect. In addition, provided Executive timely elects to continue Executive’s group health insurance coverage after the Separation Date pursuant to COBRA, and the terms of the governing health insurance policies, Company will reimburse all monthly COBRA health insurance premiums Executive pays to continue Executive’s health insurance coverage (including dependent coverage) for thirty-six (36) months after the Separation Date or until such earlier date as Executive either becomes eligible for group health insurance coverage through a new employer or Executive ceases to be eligible for COBRA coverage. (All severance benefits provided in this subsection 9(a) shall be referred to collectively as the “</w:t>
      </w:r>
      <w:r>
        <w:rPr>
          <w:rFonts w:ascii="Arial" w:cs="Arial" w:eastAsia="Arial" w:hAnsi="Arial"/>
          <w:sz w:val="20"/>
          <w:szCs w:val="20"/>
          <w:b w:val="1"/>
          <w:bCs w:val="1"/>
          <w:color w:val="auto"/>
        </w:rPr>
        <w:t>CIC Severance Benefits.</w:t>
      </w:r>
      <w:r>
        <w:rPr>
          <w:rFonts w:ascii="Arial" w:cs="Arial" w:eastAsia="Arial" w:hAnsi="Arial"/>
          <w:sz w:val="20"/>
          <w:szCs w:val="20"/>
          <w:color w:val="auto"/>
        </w:rPr>
        <w:t>”) The CIC Severance Benefits shall be paid subject to the same preconditions and on the same terms and conditions applicable to the Severance Benefits, as set forth in Section 8(f)(ii) (Preconditions).</w:t>
      </w:r>
    </w:p>
    <w:p>
      <w:pPr>
        <w:spacing w:after="0" w:line="189" w:lineRule="exact"/>
        <w:rPr>
          <w:sz w:val="20"/>
          <w:szCs w:val="20"/>
          <w:color w:val="auto"/>
        </w:rPr>
      </w:pPr>
    </w:p>
    <w:p>
      <w:pPr>
        <w:jc w:val="both"/>
        <w:ind w:firstLine="656"/>
        <w:spacing w:after="0" w:line="270" w:lineRule="auto"/>
        <w:tabs>
          <w:tab w:leader="none" w:pos="1138" w:val="left"/>
        </w:tabs>
        <w:numPr>
          <w:ilvl w:val="1"/>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 of Change in Control. </w:t>
      </w: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(i) the acquisition by any individual, entity or group (a “</w:t>
      </w:r>
      <w:r>
        <w:rPr>
          <w:rFonts w:ascii="Arial" w:cs="Arial" w:eastAsia="Arial" w:hAnsi="Arial"/>
          <w:sz w:val="18"/>
          <w:szCs w:val="18"/>
          <w:b w:val="1"/>
          <w:bCs w:val="1"/>
          <w:color w:val="auto"/>
        </w:rPr>
        <w:t>Person”</w:t>
      </w:r>
      <w:r>
        <w:rPr>
          <w:rFonts w:ascii="Arial" w:cs="Arial" w:eastAsia="Arial" w:hAnsi="Arial"/>
          <w:sz w:val="18"/>
          <w:szCs w:val="18"/>
          <w:color w:val="auto"/>
        </w:rPr>
        <w:t>), within the meaning of Section 13(d)(3) or 14(d)(2) of the Securities and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of beneficial ownership (within the meaning of Rule 13d-3 promulgated under the Exchange Act) of 50% or more of the combined voting power of the then outstanding securities of Company entitled to vote generally in the election of directors (“</w:t>
      </w:r>
      <w:r>
        <w:rPr>
          <w:rFonts w:ascii="Arial" w:cs="Arial" w:eastAsia="Arial" w:hAnsi="Arial"/>
          <w:sz w:val="18"/>
          <w:szCs w:val="18"/>
          <w:b w:val="1"/>
          <w:bCs w:val="1"/>
          <w:color w:val="auto"/>
        </w:rPr>
        <w:t>Voting Stock</w:t>
      </w:r>
      <w:r>
        <w:rPr>
          <w:rFonts w:ascii="Arial" w:cs="Arial" w:eastAsia="Arial" w:hAnsi="Arial"/>
          <w:sz w:val="18"/>
          <w:szCs w:val="18"/>
          <w:color w:val="auto"/>
        </w:rPr>
        <w:t>”); or (ii) consummation of a reorganization, merger or consolidation, a sale or other disposition of all or substantially all of the assets of Company, or other transaction ( each, a “</w:t>
      </w:r>
      <w:r>
        <w:rPr>
          <w:rFonts w:ascii="Arial" w:cs="Arial" w:eastAsia="Arial" w:hAnsi="Arial"/>
          <w:sz w:val="18"/>
          <w:szCs w:val="18"/>
          <w:b w:val="1"/>
          <w:bCs w:val="1"/>
          <w:color w:val="auto"/>
        </w:rPr>
        <w:t>Business Combination</w:t>
      </w:r>
      <w:r>
        <w:rPr>
          <w:rFonts w:ascii="Arial" w:cs="Arial" w:eastAsia="Arial" w:hAnsi="Arial"/>
          <w:sz w:val="18"/>
          <w:szCs w:val="18"/>
          <w:color w:val="auto"/>
        </w:rPr>
        <w:t>”), unless, in each case, immediately following such Business Combination, (A) all or substantially all of the individuals and entities who were the beneficial owners of Voting Stock of Company immediately prior to such Business Combination beneficially own, directly or indirectly, more than 50% of the combined voting power of the then outstanding shares of Voting Stock of the entity resulting from such Business Combination (including, without limitation, an entity which as a result of such transaction owns Company or all or substantially all of Company's assets either directly or through one or more subsidiaries) in substantially the same proportions relative to each other as their ownership, immediately prior to such Business Combination, of the Voting Stock of Company; and (B) no Person beneficially owns, directly or indirectly, 50% or more of the combined voting power of the then outstanding shares of Voting Stock of the entity resulting from such Business Combination.</w:t>
      </w:r>
    </w:p>
    <w:p>
      <w:pPr>
        <w:spacing w:after="0" w:line="173" w:lineRule="exact"/>
        <w:rPr>
          <w:rFonts w:ascii="Arial" w:cs="Arial" w:eastAsia="Arial" w:hAnsi="Arial"/>
          <w:sz w:val="18"/>
          <w:szCs w:val="18"/>
          <w:b w:val="1"/>
          <w:bCs w:val="1"/>
          <w:color w:val="auto"/>
        </w:rPr>
      </w:pPr>
    </w:p>
    <w:p>
      <w:pPr>
        <w:jc w:val="both"/>
        <w:ind w:firstLine="656"/>
        <w:spacing w:after="0" w:line="266" w:lineRule="auto"/>
        <w:tabs>
          <w:tab w:leader="none" w:pos="1061" w:val="left"/>
        </w:tabs>
        <w:numPr>
          <w:ilvl w:val="1"/>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Prior CIC Benefits. </w:t>
      </w:r>
      <w:r>
        <w:rPr>
          <w:rFonts w:ascii="Arial" w:cs="Arial" w:eastAsia="Arial" w:hAnsi="Arial"/>
          <w:sz w:val="19"/>
          <w:szCs w:val="19"/>
          <w:color w:val="auto"/>
        </w:rPr>
        <w:t>The Parties hereby acknowledge and agree that: (i) this Agreement supersedes in its entirety any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plan, or portion thereof pursuant to which Executive is or was entitled to any benefits in the event of a change in control, such that the Parties’ rights and obligations under any such prior agreement, plan, or portion thereof are null and void as of the Effective Date; and (ii) the CIC Benefits are the sole benefits to which Executive shall be entitled in the event of a CIC Termination.</w:t>
      </w:r>
    </w:p>
    <w:p>
      <w:pPr>
        <w:spacing w:after="0" w:line="165" w:lineRule="exact"/>
        <w:rPr>
          <w:rFonts w:ascii="Arial" w:cs="Arial" w:eastAsia="Arial" w:hAnsi="Arial"/>
          <w:sz w:val="19"/>
          <w:szCs w:val="19"/>
          <w:b w:val="1"/>
          <w:bCs w:val="1"/>
          <w:color w:val="auto"/>
        </w:rPr>
      </w:pPr>
    </w:p>
    <w:p>
      <w:pPr>
        <w:jc w:val="both"/>
        <w:ind w:firstLine="8"/>
        <w:spacing w:after="0" w:line="280" w:lineRule="auto"/>
        <w:tabs>
          <w:tab w:leader="none" w:pos="52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SECTION 409A COMPLIANCE. </w:t>
      </w:r>
      <w:r>
        <w:rPr>
          <w:rFonts w:ascii="Arial" w:cs="Arial" w:eastAsia="Arial" w:hAnsi="Arial"/>
          <w:sz w:val="18"/>
          <w:szCs w:val="18"/>
          <w:color w:val="auto"/>
        </w:rPr>
        <w:t>Notwithstanding anything set forth in this Agreement to the contrary, any payments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provided pursuant to this Agreement which constitute “deferred compensation” within the meaning of the Treasury Regulations issued pursuant to Section 409A of the Internal Revenue Code (the “</w:t>
      </w:r>
      <w:r>
        <w:rPr>
          <w:rFonts w:ascii="Arial" w:cs="Arial" w:eastAsia="Arial" w:hAnsi="Arial"/>
          <w:sz w:val="18"/>
          <w:szCs w:val="18"/>
          <w:b w:val="1"/>
          <w:bCs w:val="1"/>
          <w:color w:val="auto"/>
        </w:rPr>
        <w:t>Code</w:t>
      </w:r>
      <w:r>
        <w:rPr>
          <w:rFonts w:ascii="Arial" w:cs="Arial" w:eastAsia="Arial" w:hAnsi="Arial"/>
          <w:sz w:val="18"/>
          <w:szCs w:val="18"/>
          <w:color w:val="auto"/>
        </w:rPr>
        <w:t>”) shall not commence until Executive has incurred a “separation from service” (as such term is defined in the Treasury Regulation Section 1.409A-1(h) (“</w:t>
      </w:r>
      <w:r>
        <w:rPr>
          <w:rFonts w:ascii="Arial" w:cs="Arial" w:eastAsia="Arial" w:hAnsi="Arial"/>
          <w:sz w:val="18"/>
          <w:szCs w:val="18"/>
          <w:b w:val="1"/>
          <w:bCs w:val="1"/>
          <w:color w:val="auto"/>
        </w:rPr>
        <w:t>Separation From Service</w:t>
      </w:r>
      <w:r>
        <w:rPr>
          <w:rFonts w:ascii="Arial" w:cs="Arial" w:eastAsia="Arial" w:hAnsi="Arial"/>
          <w:sz w:val="18"/>
          <w:szCs w:val="18"/>
          <w:color w:val="auto"/>
        </w:rPr>
        <w:t>”), unless Company reasonably determines that such amounts may be provided to Executive without causing Executive to incur the additional 20% tax under Section 409A.</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the avoidance of doubt, it is intended that the payments and benefits set forth in this Agreement satisfy, to the greatest extent possible, the exemptions from the application of Section 409A provided under Treasury Regulation Sections 1.409A-1(b)(4), 1.409A-1(b)(5) and 1.409A-1(b)(9) and this Agreement will be construed to the greatest extent possible as consistent with those provisions. To the extent not so exempt, this Agreement (and any definitions hereunder) will be construed in a manner that complies with Section 409A and incorporates by reference all required definitions and payment terms. For purposes of Section 409A (including, without limitation, for purposes of Treasury Regulation Section 1.409A 2(b)(2)(iii)),</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112" w:name="page113"/>
    <w:bookmarkEnd w:id="112"/>
    <w:p>
      <w:pPr>
        <w:jc w:val="both"/>
        <w:spacing w:after="0" w:line="270" w:lineRule="auto"/>
        <w:rPr>
          <w:sz w:val="20"/>
          <w:szCs w:val="20"/>
          <w:color w:val="auto"/>
        </w:rPr>
      </w:pPr>
      <w:r>
        <w:rPr>
          <w:rFonts w:ascii="Arial" w:cs="Arial" w:eastAsia="Arial" w:hAnsi="Arial"/>
          <w:sz w:val="18"/>
          <w:szCs w:val="18"/>
          <w:color w:val="auto"/>
        </w:rPr>
        <w:t>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Company (or, if applicable, the successor entity thereto) determines that any payments upon Executive’s Separation From Service set forth herein and/or under any other agreement with Company constitute “deferred compensation” under Section 409A and Executive is, on Executive’s Separation From Service, a “specified employee” of Company or any successor entity thereto, as such term is defined in Section 409A(a)(2)(B)(i) of the Code, then, solely, to the extent necessary to avoid the incurrence of the adverse personal tax consequences under Section 409A, the timing of the payments upon Executive’s Separation From Service shall be delayed until the earlier to occur of: (a) the date that is six months and one day after Executive’s Separation From Service or (b) the date of Executive’s death (such applicable date, the “</w:t>
      </w:r>
      <w:r>
        <w:rPr>
          <w:rFonts w:ascii="Arial" w:cs="Arial" w:eastAsia="Arial" w:hAnsi="Arial"/>
          <w:sz w:val="18"/>
          <w:szCs w:val="18"/>
          <w:b w:val="1"/>
          <w:bCs w:val="1"/>
          <w:color w:val="auto"/>
        </w:rPr>
        <w:t>Specified Employee Initial Payment Date</w:t>
      </w:r>
      <w:r>
        <w:rPr>
          <w:rFonts w:ascii="Arial" w:cs="Arial" w:eastAsia="Arial" w:hAnsi="Arial"/>
          <w:sz w:val="18"/>
          <w:szCs w:val="18"/>
          <w:color w:val="auto"/>
        </w:rPr>
        <w:t>”). On the Specified Employee Initial Payment Date, Company (or the successor entity thereto, as applicable) shall (A) pay to Executive a lump sum amount equal to the sum of the payments upon Executive’s Separation From Service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None of the severance benefits under this Agreement will commence or otherwise be delivered prior to the effective date of the Release. Except to the minimum extent that payments must be delayed because Executive is a “specified employee” (as described above) or until the effectiveness of the Release, all amounts will be paid as soon as practicable in accordance with Company’s normal payroll practices and no interest will be due on any amounts so deferred.</w:t>
      </w:r>
    </w:p>
    <w:p>
      <w:pPr>
        <w:spacing w:after="0" w:line="186" w:lineRule="exact"/>
        <w:rPr>
          <w:sz w:val="20"/>
          <w:szCs w:val="20"/>
          <w:color w:val="auto"/>
        </w:rPr>
      </w:pPr>
    </w:p>
    <w:p>
      <w:pPr>
        <w:jc w:val="both"/>
        <w:ind w:firstLine="8"/>
        <w:spacing w:after="0" w:line="255" w:lineRule="auto"/>
        <w:tabs>
          <w:tab w:leader="none" w:pos="497" w:val="left"/>
        </w:tabs>
        <w:numPr>
          <w:ilvl w:val="0"/>
          <w:numId w:val="1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BETTER AFTER TAX PROVISION. </w:t>
      </w:r>
      <w:r>
        <w:rPr>
          <w:rFonts w:ascii="Arial" w:cs="Arial" w:eastAsia="Arial" w:hAnsi="Arial"/>
          <w:sz w:val="19"/>
          <w:szCs w:val="19"/>
          <w:color w:val="auto"/>
        </w:rPr>
        <w:t>If any payment or benefit that Executive will or may receive from Company or otherwise (a</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280G 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any such 280G Payment will be equal to the Reduced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will be either (x) the largest portion of the 280G Payment that would result in no portion of the 280G Payment (after reduction) being subject to the Excise Tax, or (y) the largest portion, up to and including the total, of the 280G Payment, whichever amount (</w:t>
      </w:r>
      <w:r>
        <w:rPr>
          <w:rFonts w:ascii="Arial" w:cs="Arial" w:eastAsia="Arial" w:hAnsi="Arial"/>
          <w:sz w:val="19"/>
          <w:szCs w:val="19"/>
          <w:i w:val="1"/>
          <w:iCs w:val="1"/>
          <w:color w:val="auto"/>
        </w:rPr>
        <w:t>i.e</w:t>
      </w:r>
      <w:r>
        <w:rPr>
          <w:rFonts w:ascii="Arial" w:cs="Arial" w:eastAsia="Arial" w:hAnsi="Arial"/>
          <w:sz w:val="19"/>
          <w:szCs w:val="19"/>
          <w:color w:val="auto"/>
        </w:rPr>
        <w:t>.,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280G Payment may be subject to the Excise Tax. If a reduction in a 280G Payment is required pursuant to the preceding sentence and the Reduced Amount is determined pursuant to clause (x) of the preceding sentence, the reduction will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b w:val="1"/>
          <w:bCs w:val="1"/>
          <w:color w:val="auto"/>
        </w:rPr>
        <w:t>Pro Rata Reduction Method</w:t>
      </w:r>
      <w:r>
        <w:rPr>
          <w:rFonts w:ascii="Arial" w:cs="Arial" w:eastAsia="Arial" w:hAnsi="Arial"/>
          <w:sz w:val="19"/>
          <w:szCs w:val="19"/>
          <w:color w:val="auto"/>
        </w:rPr>
        <w:t>”).</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Notwithstanding the foregoing, if the Reduction Method or the Pro Rata Reduction Method would result in any portion of the 280G Payment being subject to taxes pursuant to Section 409A of the Code that would not otherwise be subject to taxes pursuant to Section 409A of the Code, then the Reduction Method and/or the Pro Rata Reduction Method, as the case may be, will be modified so as to avoid the imposition of taxes pursuant to Section 409A of the Code as follows: (A) as a first priority, the modification will preserve to the greatest extent possible, the greatest economic benefit for Executive as determined on an after-tax basis; (B) as a second priority, 280G Payments that are contingent on future events (</w:t>
      </w:r>
      <w:r>
        <w:rPr>
          <w:rFonts w:ascii="Arial" w:cs="Arial" w:eastAsia="Arial" w:hAnsi="Arial"/>
          <w:sz w:val="18"/>
          <w:szCs w:val="18"/>
          <w:i w:val="1"/>
          <w:iCs w:val="1"/>
          <w:color w:val="auto"/>
        </w:rPr>
        <w:t>e.g</w:t>
      </w:r>
      <w:r>
        <w:rPr>
          <w:rFonts w:ascii="Arial" w:cs="Arial" w:eastAsia="Arial" w:hAnsi="Arial"/>
          <w:sz w:val="18"/>
          <w:szCs w:val="18"/>
          <w:color w:val="auto"/>
        </w:rPr>
        <w:t>., being terminated without Cause), will be reduced (or eliminated) before 280G Payments that are not contingent on future events; and (C) as a third priority, 280G Payments that are “deferred compensation” within the meaning of Section 409A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113" w:name="page114"/>
    <w:bookmarkEnd w:id="113"/>
    <w:p>
      <w:pPr>
        <w:jc w:val="both"/>
        <w:ind w:right="20"/>
        <w:spacing w:after="0" w:line="260" w:lineRule="auto"/>
        <w:rPr>
          <w:sz w:val="20"/>
          <w:szCs w:val="20"/>
          <w:color w:val="auto"/>
        </w:rPr>
      </w:pPr>
      <w:r>
        <w:rPr>
          <w:rFonts w:ascii="Arial" w:cs="Arial" w:eastAsia="Arial" w:hAnsi="Arial"/>
          <w:sz w:val="20"/>
          <w:szCs w:val="20"/>
          <w:color w:val="auto"/>
        </w:rPr>
        <w:t>of the Code will be reduced (or eliminated) before 280G Payments that are not “deferred compensation” within the meaning of Section 409A of the Code.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Section 280G of the Code is not applicable by law to Executive, Company will determine whether any similar law in Executive’s jurisdiction applies and should be taken into account.</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independent professional firm engaged by Company for general tax audit purposes as of the day prior to the effective date of the Change in Control will make all determinations required to be made under this Section. If the firm so engaged by Company is serving as accountant or auditor for the individual, entity or group effecting the Change in Control, Company will appoint a nationally recognized independent professional firm to make the determinations required hereunder. Company will bear all expenses with respect to the determinations by such firm required to be made hereunder. Company will use commercially reasonable efforts to cause the firm engaged to make the determinations hereunder to provide its calculations, together with detailed supporting documentation, to Company and Executive within thirty (30) calendar days after the date on which Executive’s right to a 280G Payment becomes reasonably likely to occur (if requested at that time by Company or Executive) or such other time as requested by Company or Executive.</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Executive receives a 280G Payment for which the Reduced Amount was determined pursuant to clause (x) of the first paragraph of this Section and the Internal Revenue Service determines thereafter that some portion of the 280G Payment is subject to the Excise Tax, Executive will promptly return to Company a sufficient amount of the 280G Payment (after reduction pursuant to clause (x) of the first paragraph of this Section) so that no portion of the remaining 280G Payment is subject to the Excise Tax. For the avoidance of doubt, if the Reduced Amount was determined pursuant to clause (y) of the first paragraph of this Section, Executive will have no obligation to return any portion of the 280G Payment pursuant to the preceding sentence.</w:t>
      </w:r>
    </w:p>
    <w:p>
      <w:pPr>
        <w:spacing w:after="0" w:line="191" w:lineRule="exact"/>
        <w:rPr>
          <w:sz w:val="20"/>
          <w:szCs w:val="20"/>
          <w:color w:val="auto"/>
        </w:rPr>
      </w:pPr>
    </w:p>
    <w:p>
      <w:pPr>
        <w:ind w:left="440" w:hanging="432"/>
        <w:spacing w:after="0"/>
        <w:tabs>
          <w:tab w:leader="none" w:pos="44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5" w:lineRule="exact"/>
        <w:rPr>
          <w:rFonts w:ascii="Arial" w:cs="Arial" w:eastAsia="Arial" w:hAnsi="Arial"/>
          <w:sz w:val="20"/>
          <w:szCs w:val="20"/>
          <w:b w:val="1"/>
          <w:bCs w:val="1"/>
          <w:color w:val="auto"/>
        </w:rPr>
      </w:pPr>
    </w:p>
    <w:p>
      <w:pPr>
        <w:jc w:val="both"/>
        <w:ind w:firstLine="656"/>
        <w:spacing w:after="0" w:line="273" w:lineRule="auto"/>
        <w:tabs>
          <w:tab w:leader="none" w:pos="1126"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Executive shall be responsible for the payment of any taxes due on any and all compensation, stock option, or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Company pursuant to this Agreement which are not withheld by Company. Executive agrees to indemnify and hold harmless Company from any and all claims or penalties asserted against Company arising from Executive’s failure to pay taxes due on any compensation, stock option, or benefit provided by Company pursuant to this Agreement. Executive expressly acknowledges that Company has not made any representation about the tax consequences of any consideration, including any extended exercise period, provided by Company to Executive pursuant to this Agreement; and that Company has advised Executive to seek independent tax advice with respect to any tax matters related to this Agreement. Executive understands and acknowledges that, pursuant to the tax rules governing incentive stock options, any extension of the exercise period applicable to incentive stock options held by Executive may immediately cause such options to cease to qualify as incentive stock options and by executing this Agreement, Executive agrees to such treatment.</w:t>
      </w:r>
    </w:p>
    <w:p>
      <w:pPr>
        <w:spacing w:after="0" w:line="163" w:lineRule="exact"/>
        <w:rPr>
          <w:rFonts w:ascii="Arial" w:cs="Arial" w:eastAsia="Arial" w:hAnsi="Arial"/>
          <w:sz w:val="18"/>
          <w:szCs w:val="18"/>
          <w:b w:val="1"/>
          <w:bCs w:val="1"/>
          <w:color w:val="auto"/>
        </w:rPr>
      </w:pPr>
    </w:p>
    <w:p>
      <w:pPr>
        <w:jc w:val="both"/>
        <w:ind w:firstLine="656"/>
        <w:spacing w:after="0" w:line="262" w:lineRule="auto"/>
        <w:tabs>
          <w:tab w:leader="none" w:pos="1084" w:val="left"/>
        </w:tabs>
        <w:numPr>
          <w:ilvl w:val="1"/>
          <w:numId w:val="1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Modification/Waiver. </w:t>
      </w:r>
      <w:r>
        <w:rPr>
          <w:rFonts w:ascii="Arial" w:cs="Arial" w:eastAsia="Arial" w:hAnsi="Arial"/>
          <w:sz w:val="19"/>
          <w:szCs w:val="19"/>
          <w:color w:val="auto"/>
        </w:rPr>
        <w:t>This Agreement may not be amended, modified, superseded, canceled, renewed or extended, or any terms</w:t>
      </w:r>
      <w:r>
        <w:rPr>
          <w:rFonts w:ascii="Arial" w:cs="Arial" w:eastAsia="Arial" w:hAnsi="Arial"/>
          <w:sz w:val="19"/>
          <w:szCs w:val="19"/>
          <w:b w:val="1"/>
          <w:bCs w:val="1"/>
          <w:color w:val="auto"/>
        </w:rPr>
        <w:t xml:space="preserve"> </w:t>
      </w:r>
      <w:r>
        <w:rPr>
          <w:rFonts w:ascii="Arial" w:cs="Arial" w:eastAsia="Arial" w:hAnsi="Arial"/>
          <w:sz w:val="19"/>
          <w:szCs w:val="19"/>
          <w:color w:val="auto"/>
        </w:rPr>
        <w:t>or covenants hereof waived, except by a writing executed by Executive and for Company by a duly authorized Board member; or, in the case of a waiver, by the Party waiving compliance. Failure of any Party at any time to require performance of any provision hereof shall not affect the Party’s right at a later time to enforce such provision. No waiver by a Party of a breach of this Agreement shall be deemed to be a waiver of any other breach of any term or condition contained in the Agreement.</w:t>
      </w:r>
    </w:p>
    <w:p>
      <w:pPr>
        <w:spacing w:after="0" w:line="171" w:lineRule="exact"/>
        <w:rPr>
          <w:rFonts w:ascii="Arial" w:cs="Arial" w:eastAsia="Arial" w:hAnsi="Arial"/>
          <w:sz w:val="19"/>
          <w:szCs w:val="19"/>
          <w:b w:val="1"/>
          <w:bCs w:val="1"/>
          <w:color w:val="auto"/>
        </w:rPr>
      </w:pPr>
    </w:p>
    <w:p>
      <w:pPr>
        <w:jc w:val="both"/>
        <w:ind w:firstLine="656"/>
        <w:spacing w:after="0" w:line="253" w:lineRule="auto"/>
        <w:tabs>
          <w:tab w:leader="none" w:pos="1088" w:val="left"/>
        </w:tabs>
        <w:numPr>
          <w:ilvl w:val="1"/>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Successors and Assigns. </w:t>
      </w:r>
      <w:r>
        <w:rPr>
          <w:rFonts w:ascii="Arial" w:cs="Arial" w:eastAsia="Arial" w:hAnsi="Arial"/>
          <w:sz w:val="20"/>
          <w:szCs w:val="20"/>
          <w:color w:val="auto"/>
        </w:rPr>
        <w:t>This Agreement may be assigned by Company to an affiliated entity of the Company with or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consent. This Agreement shall be assigned by the Company to any successor of the Company. This Agreement shall not be assignable by Executive.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114" w:name="page115"/>
    <w:bookmarkEnd w:id="114"/>
    <w:p>
      <w:pPr>
        <w:jc w:val="both"/>
        <w:ind w:firstLine="656"/>
        <w:spacing w:after="0" w:line="262" w:lineRule="auto"/>
        <w:tabs>
          <w:tab w:leader="none" w:pos="1070" w:val="left"/>
        </w:tabs>
        <w:numPr>
          <w:ilvl w:val="0"/>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All notices to be given hereunder shall be in writing and shall be deemed to have been duly given on: the date personally</w:t>
      </w:r>
      <w:r>
        <w:rPr>
          <w:rFonts w:ascii="Arial" w:cs="Arial" w:eastAsia="Arial" w:hAnsi="Arial"/>
          <w:sz w:val="19"/>
          <w:szCs w:val="19"/>
          <w:b w:val="1"/>
          <w:bCs w:val="1"/>
          <w:color w:val="auto"/>
        </w:rPr>
        <w:t xml:space="preserve"> </w:t>
      </w:r>
      <w:r>
        <w:rPr>
          <w:rFonts w:ascii="Arial" w:cs="Arial" w:eastAsia="Arial" w:hAnsi="Arial"/>
          <w:sz w:val="19"/>
          <w:szCs w:val="19"/>
          <w:color w:val="auto"/>
        </w:rPr>
        <w:t>or hand delivered; one (1) day after being sent by internationally-recognized overnight delivery courier; and three (3) days after being sent by certified mail, return receipt requested. Notices mailed to Executive shall be sent to Executive’s last home address as reflected in Company’s personnel records. Executive shall promptly notify Company of any change in Executive’s address. Notices to Company shall be directed to the Chair of the Board and shall be mailed to Company’s headquarters.</w:t>
      </w:r>
    </w:p>
    <w:p>
      <w:pPr>
        <w:spacing w:after="0" w:line="171" w:lineRule="exact"/>
        <w:rPr>
          <w:rFonts w:ascii="Arial" w:cs="Arial" w:eastAsia="Arial" w:hAnsi="Arial"/>
          <w:sz w:val="19"/>
          <w:szCs w:val="19"/>
          <w:b w:val="1"/>
          <w:bCs w:val="1"/>
          <w:color w:val="auto"/>
        </w:rPr>
      </w:pPr>
    </w:p>
    <w:p>
      <w:pPr>
        <w:jc w:val="both"/>
        <w:ind w:firstLine="656"/>
        <w:spacing w:after="0" w:line="269" w:lineRule="auto"/>
        <w:tabs>
          <w:tab w:leader="none" w:pos="1183"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To aid in the rapid and economical resolution of any disputes that may arise between Executive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the Parties agree that any and all disputes, claims, or demands arising from or relating to this Agreement (including but not limited to the Confidential Information Agreement incorporated by reference herein), Executive’s employment relationship with Company, or the termination of that relationship (including statutory claims), shall be resolved, to the fullest extent permitted by law, by final, binding and confidential arbitration in San Francisco, California conducted by JAMS, Inc. (“JAMS”) or its successor, before a single neutral arbitrator, under the then applicable JAMS Arbitration Rules and Procedures for Employment Disputes (available at http://www.jamsadr.com/rules-employment-arbitration/) and subject to JAMS’ Policy on Employment Arbitration Minimum Standards of Procedural Fairness. </w:t>
      </w:r>
      <w:r>
        <w:rPr>
          <w:rFonts w:ascii="Arial" w:cs="Arial" w:eastAsia="Arial" w:hAnsi="Arial"/>
          <w:sz w:val="18"/>
          <w:szCs w:val="18"/>
          <w:b w:val="1"/>
          <w:bCs w:val="1"/>
          <w:color w:val="auto"/>
        </w:rPr>
        <w:t>The Parties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acknowledge that by agreeing to this arbitration procedure, they waive the right to resolve any such dispute, claim or demand through a trial by jury or judge or by administrative proceeding. </w:t>
      </w:r>
      <w:r>
        <w:rPr>
          <w:rFonts w:ascii="Arial" w:cs="Arial" w:eastAsia="Arial" w:hAnsi="Arial"/>
          <w:sz w:val="18"/>
          <w:szCs w:val="18"/>
          <w:color w:val="auto"/>
        </w:rPr>
        <w:t>The arbitrator shall: (a) have authority to compel adequate discovery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dispute and to award such relief as would otherwise be available under applicable law in a court proceeding; (b) issue a written statement signed by the arbitrator regarding the disposition of each claim and the relief, if any, awarded as to each claim, the reasons for the award, and the arbitrator’s essential findings and conclusions on which the award is based; and (c) have authority to decide questions regarding the enforceability, interpretation, scope, applicability, or coverage of this Agreement (including whether an issue is subject to arbitration under this Agreement). Company shall pay all JAMS’ arbitration fees. Executive will have the right to be represented by legal counsel at any arbitration proceeding, at Executive’s expense. The arbitrator may award reasonable attorney’s fees, costs, and expenses to the prevailing party in any arbitration (as reasonably determined by the arbitrator), in addition to any other relief to which the prevailing party may be entitled. Nothing in this Agreement is intended to prevent either Party from obtaining injunctive relief in a court of applicable jurisdiction to prevent irreparable harm pending the conclusion of any arbitration; or from enforcing any arbitration award in a court of applicable jurisdiction.</w:t>
      </w:r>
    </w:p>
    <w:p>
      <w:pPr>
        <w:spacing w:after="0" w:line="172" w:lineRule="exact"/>
        <w:rPr>
          <w:rFonts w:ascii="Arial" w:cs="Arial" w:eastAsia="Arial" w:hAnsi="Arial"/>
          <w:sz w:val="18"/>
          <w:szCs w:val="18"/>
          <w:b w:val="1"/>
          <w:bCs w:val="1"/>
          <w:color w:val="auto"/>
        </w:rPr>
      </w:pPr>
    </w:p>
    <w:p>
      <w:pPr>
        <w:jc w:val="both"/>
        <w:ind w:firstLine="656"/>
        <w:spacing w:after="0" w:line="260" w:lineRule="auto"/>
        <w:tabs>
          <w:tab w:leader="none" w:pos="1067" w:val="left"/>
        </w:tabs>
        <w:numPr>
          <w:ilvl w:val="0"/>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w:t>
      </w:r>
      <w:r>
        <w:rPr>
          <w:rFonts w:ascii="Arial" w:cs="Arial" w:eastAsia="Arial" w:hAnsi="Arial"/>
          <w:sz w:val="19"/>
          <w:szCs w:val="19"/>
          <w:color w:val="auto"/>
        </w:rPr>
        <w:t>. In addition to any rights to indemnification to which Executive may be entitled under Company’s Charter and</w:t>
      </w:r>
      <w:r>
        <w:rPr>
          <w:rFonts w:ascii="Arial" w:cs="Arial" w:eastAsia="Arial" w:hAnsi="Arial"/>
          <w:sz w:val="19"/>
          <w:szCs w:val="19"/>
          <w:b w:val="1"/>
          <w:bCs w:val="1"/>
          <w:color w:val="auto"/>
        </w:rPr>
        <w:t xml:space="preserve"> </w:t>
      </w:r>
      <w:r>
        <w:rPr>
          <w:rFonts w:ascii="Arial" w:cs="Arial" w:eastAsia="Arial" w:hAnsi="Arial"/>
          <w:sz w:val="19"/>
          <w:szCs w:val="19"/>
          <w:color w:val="auto"/>
        </w:rPr>
        <w:t>By-Laws, Company shall indemnify, defend and provide Director and Officer liability insurance coverage to Executive at all times during and after Executive’s employment to the maximum extent permitted by applicable state laws and such insurance policies to cover Executive’s liability and expenses related to Executive’s acts and omissions within the course and scope of employment with Company, and shall pay Executive’s expenses in defending any civil or criminal action, suit, or proceeding in advance of the final disposition of such action, suit, or proceeding, to the maximum extent permitted under such applicable state laws.</w:t>
      </w:r>
    </w:p>
    <w:p>
      <w:pPr>
        <w:spacing w:after="0" w:line="173" w:lineRule="exact"/>
        <w:rPr>
          <w:rFonts w:ascii="Arial" w:cs="Arial" w:eastAsia="Arial" w:hAnsi="Arial"/>
          <w:sz w:val="19"/>
          <w:szCs w:val="19"/>
          <w:b w:val="1"/>
          <w:bCs w:val="1"/>
          <w:color w:val="auto"/>
        </w:rPr>
      </w:pPr>
    </w:p>
    <w:p>
      <w:pPr>
        <w:jc w:val="both"/>
        <w:ind w:firstLine="656"/>
        <w:spacing w:after="0" w:line="243" w:lineRule="auto"/>
        <w:tabs>
          <w:tab w:leader="none" w:pos="1275"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This Agreement, together with the Exhibits, sets forth the complete and exclusive agreement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of the Parties with regard to the subject matter hereof, and supersedes any and all prior or contemporaneous agreements, promises, representations, or communications, written or oral, pertaining to the subject matter hereof (including, but not limited to, the Prior CIC Agreement and any other communications between the Parties regarding benefits in the event of a change in control of Company); provided, however, that this Agreement and its Exhibits do not supersede any prior Performance Unit Plan agreements or any other equity agreements or plans. If any provision of this Agreement is determined to be invalid or unenforceable, in whole or in part, this determination will not affect any other provision of this Agreement, and the invalid or unenforceable provision shall be modified to render it valid and enforceable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115" w:name="page116"/>
    <w:bookmarkEnd w:id="115"/>
    <w:p>
      <w:pPr>
        <w:jc w:val="both"/>
        <w:spacing w:after="0" w:line="282" w:lineRule="auto"/>
        <w:rPr>
          <w:sz w:val="20"/>
          <w:szCs w:val="20"/>
          <w:color w:val="auto"/>
        </w:rPr>
      </w:pPr>
      <w:r>
        <w:rPr>
          <w:rFonts w:ascii="Arial" w:cs="Arial" w:eastAsia="Arial" w:hAnsi="Arial"/>
          <w:sz w:val="18"/>
          <w:szCs w:val="18"/>
          <w:color w:val="auto"/>
        </w:rPr>
        <w:t>consistent with the intent of the parties insofar as possible under applicable law. For purposes of construing this Agreement, any ambiguities shall not be construed against any party as the drafter. This Agreement may be executed in counterparts, which shall be deemed to be part of one original, and facsimile signatures shall be equivalent to original signatures. The validity, interpretation, construction and performance of this Agreement shall be governed by the laws of the State of California, without regard to conflict of laws principles.</w:t>
      </w:r>
    </w:p>
    <w:p>
      <w:pPr>
        <w:spacing w:after="0" w:line="15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each duly executed this Agreement as of the date written below to indicate their</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and acceptance of all of the above-stated terms and conditions.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THE COOPER COMPANIES, INC.</w:t>
      </w:r>
    </w:p>
    <w:p>
      <w:pPr>
        <w:spacing w:after="0" w:line="200" w:lineRule="exact"/>
        <w:rPr>
          <w:sz w:val="20"/>
          <w:szCs w:val="20"/>
          <w:color w:val="auto"/>
        </w:rPr>
      </w:pPr>
    </w:p>
    <w:p>
      <w:pPr>
        <w:spacing w:after="0" w:line="25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Randal 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1379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ind w:left="3900"/>
        <w:spacing w:after="0"/>
        <w:tabs>
          <w:tab w:leader="none" w:pos="432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16"/>
          <w:szCs w:val="16"/>
          <w:color w:val="auto"/>
        </w:rPr>
        <w:t>Vice President, General Counsel &amp; Secretary</w:t>
      </w:r>
    </w:p>
    <w:p>
      <w:pPr>
        <w:spacing w:after="0" w:line="213"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April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-14605</wp:posOffset>
            </wp:positionV>
            <wp:extent cx="8623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233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Holly R.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1639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639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Holly R. Sheffield</w:t>
      </w:r>
    </w:p>
    <w:p>
      <w:pPr>
        <w:spacing w:after="0" w:line="200" w:lineRule="exact"/>
        <w:rPr>
          <w:sz w:val="20"/>
          <w:szCs w:val="20"/>
          <w:color w:val="auto"/>
        </w:rPr>
      </w:pPr>
    </w:p>
    <w:p>
      <w:pPr>
        <w:spacing w:after="0" w:line="229"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April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-14605</wp:posOffset>
            </wp:positionV>
            <wp:extent cx="8623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 CONFIDENTIAL INFORMATION AND INVENTION ASSIGNMENT AGREEMENT</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In consideration of my employment or continued employment by </w:t>
      </w:r>
      <w:r>
        <w:rPr>
          <w:rFonts w:ascii="Arial" w:cs="Arial" w:eastAsia="Arial" w:hAnsi="Arial"/>
          <w:sz w:val="22"/>
          <w:szCs w:val="22"/>
          <w:b w:val="1"/>
          <w:bCs w:val="1"/>
          <w:color w:val="auto"/>
        </w:rPr>
        <w:t>THE COOPER COMPANIES, INC. (“</w:t>
      </w:r>
      <w:r>
        <w:rPr>
          <w:rFonts w:ascii="Arial" w:cs="Arial" w:eastAsia="Arial" w:hAnsi="Arial"/>
          <w:sz w:val="22"/>
          <w:szCs w:val="22"/>
          <w:b w:val="1"/>
          <w:bCs w:val="1"/>
          <w:i w:val="1"/>
          <w:iCs w:val="1"/>
          <w:color w:val="auto"/>
        </w:rPr>
        <w:t>Employer</w:t>
      </w:r>
      <w:r>
        <w:rPr>
          <w:rFonts w:ascii="Arial" w:cs="Arial" w:eastAsia="Arial" w:hAnsi="Arial"/>
          <w:sz w:val="22"/>
          <w:szCs w:val="22"/>
          <w:b w:val="1"/>
          <w:bCs w:val="1"/>
          <w:color w:val="auto"/>
        </w:rPr>
        <w:t>”)</w:t>
      </w:r>
      <w:r>
        <w:rPr>
          <w:rFonts w:ascii="Arial" w:cs="Arial" w:eastAsia="Arial" w:hAnsi="Arial"/>
          <w:sz w:val="22"/>
          <w:szCs w:val="22"/>
          <w:color w:val="auto"/>
        </w:rPr>
        <w:t>, and its subsidiaries, parents, affiliates, successors and assigns (together with Employer,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compensation paid to me now and during my employment with Company, I hereby enter into this Employee Confidential Information and Invention Assignment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agree as follows:</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20"/>
          <w:szCs w:val="20"/>
          <w:b w:val="1"/>
          <w:bCs w:val="1"/>
          <w:color w:val="auto"/>
        </w:rPr>
      </w:pPr>
      <w:r>
        <w:rPr>
          <w:rFonts w:ascii="Arial" w:cs="Arial" w:eastAsia="Arial" w:hAnsi="Arial"/>
          <w:sz w:val="22"/>
          <w:szCs w:val="22"/>
          <w:b w:val="1"/>
          <w:bCs w:val="1"/>
          <w:color w:val="auto"/>
        </w:rPr>
        <w:t>Confidential Information Protections</w:t>
      </w:r>
      <w:r>
        <w:rPr>
          <w:rFonts w:ascii="Arial" w:cs="Arial" w:eastAsia="Arial" w:hAnsi="Arial"/>
          <w:sz w:val="22"/>
          <w:szCs w:val="22"/>
          <w:color w:val="auto"/>
        </w:rPr>
        <w:t>.</w:t>
      </w:r>
    </w:p>
    <w:p>
      <w:pPr>
        <w:spacing w:after="0" w:line="1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1"/>
          <w:szCs w:val="21"/>
          <w:b w:val="1"/>
          <w:bCs w:val="1"/>
          <w:color w:val="auto"/>
        </w:rPr>
        <w:t>Recognition of Company’s Rights; Nondisclosure</w:t>
      </w:r>
      <w:r>
        <w:rPr>
          <w:rFonts w:ascii="Arial" w:cs="Arial" w:eastAsia="Arial" w:hAnsi="Arial"/>
          <w:sz w:val="21"/>
          <w:szCs w:val="21"/>
          <w:color w:val="auto"/>
        </w:rPr>
        <w:t>. I understand and acknowledge that my employment by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creates a relationship of confidence and trust with respect to Company’s Confidential Information (as defined below) and that Company has a protectable interest therein. At all times during and after my employment, I will hold in confidence and will not disclose, use, lecture upon, or publish any of Company’s Confidential Information, except as such disclosure, use or publication may be required in connection with my work for Company, or unless an officer of Company expressly authorizes such disclosure, provided, however, that I will obtain Company’s written approval before publishing or submitting for publication any material (written, oral, or otherwise) that discloses and/or incorporates any Confidential Information. I hereby assign to Company any rights I may have or acquire in any Confidential Information and acknowledge and agree that all Confidential Information will be the sole and exclusive property of Company and its assigns. I will take all reasonable precautions to prevent the disclosure of Confidential Information. Notwithstanding the foregoing, pursuant to 18 U.S.C. Section 1833(b), I will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pacing w:after="0" w:line="200" w:lineRule="exact"/>
        <w:rPr>
          <w:sz w:val="20"/>
          <w:szCs w:val="20"/>
          <w:color w:val="auto"/>
        </w:rPr>
      </w:pPr>
    </w:p>
    <w:p>
      <w:pPr>
        <w:spacing w:after="0" w:line="338"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any and all confidential knowledge, data or</w:t>
      </w:r>
      <w:r>
        <w:rPr>
          <w:rFonts w:ascii="Arial" w:cs="Arial" w:eastAsia="Arial" w:hAnsi="Arial"/>
          <w:sz w:val="18"/>
          <w:szCs w:val="18"/>
          <w:b w:val="1"/>
          <w:bCs w:val="1"/>
          <w:color w:val="auto"/>
        </w:rPr>
        <w:t xml:space="preserve"> </w:t>
      </w:r>
      <w:r>
        <w:rPr>
          <w:rFonts w:ascii="Arial" w:cs="Arial" w:eastAsia="Arial" w:hAnsi="Arial"/>
          <w:sz w:val="19"/>
          <w:szCs w:val="19"/>
          <w:color w:val="auto"/>
        </w:rPr>
        <w:t>information of Company. By way of illustration but not limitation, Confidential Information includes (a) trade secrets, inventions, mask works, ideas, processes, formulas, software in source or object code, data, programs, writings, works of authorship, technology, know-how, improvements, discoveries, developments, designs and techniques and any other work product of any nature whatsoever and all Intellectual Property Rights in all of the foregoing (as defined below) therein (collectively, “</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w:t>
      </w:r>
    </w:p>
    <w:p>
      <w:pPr>
        <w:jc w:val="both"/>
        <w:ind w:firstLine="8"/>
        <w:spacing w:after="0" w:line="288" w:lineRule="auto"/>
        <w:tabs>
          <w:tab w:leader="none" w:pos="33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information regarding research, development, new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 methods of conducting Company business, suppliers and supplier information, and purchasing; (c) information regarding customers and potential customers of Company, including customer lists, names, representatives, their needs or desires with respect to the types of products or services offered by Company, proposals, bids, contracts and their contents and parties, the type and quantity of</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117" w:name="page118"/>
    <w:bookmarkEnd w:id="117"/>
    <w:p>
      <w:pPr>
        <w:jc w:val="both"/>
        <w:spacing w:after="0" w:line="285" w:lineRule="auto"/>
        <w:rPr>
          <w:sz w:val="20"/>
          <w:szCs w:val="20"/>
          <w:color w:val="auto"/>
        </w:rPr>
      </w:pPr>
      <w:r>
        <w:rPr>
          <w:rFonts w:ascii="Arial" w:cs="Arial" w:eastAsia="Arial" w:hAnsi="Arial"/>
          <w:sz w:val="19"/>
          <w:szCs w:val="19"/>
          <w:color w:val="auto"/>
        </w:rPr>
        <w:t>products and services provided or sought to be provided to customers and potential customers of Company and other non-public information relating to customers and potential customers; (d) information regarding any of Company’s business partners and their services, including names, representatives, proposals, bids, contracts and their contents and parties, the type and quantity of products and services received by Company, and other non-public information relating to business partners; (e) information regarding personnel, employee lists, compensation, and employee skills; and (f) any other non-public information which a competitor of Company could use to the competitive disadvantage of Company. Furthermore, I acknowledge and agree that all Company Inventions (as defined in Section 2.1) are deemed Confidential Information of Company. Notwithstanding the foregoing, it is understood that, at all times, I am free to use information which was known to me prior to my employment with Company or which is, or becomes, generally known in the trade or industry through no breach of this Agreement or any other act or omission by me. Notwithstanding anything to the contrary in this Agreement or any other agreement between the Company and me, nothing in this Agreement will limit my right to discuss my employment or report possible violations of law or regulation with the Equal Employment Opportunity Commission, United States Department of Labor, the National Labor Relations Board, the Securities and Exchange Commission, or other federal government agency or similar state or local agency or to discuss the terms and conditions of my employment with others to the extent expressly permitted by Section 7 of the National Labor Relations Act or to the extent that such disclosure is protected under the applicable provisions of law or regulation, including but not limited to “whistleblower” statutes or other similar provisions that protect such disclosure</w:t>
      </w:r>
    </w:p>
    <w:p>
      <w:pPr>
        <w:spacing w:after="0" w:line="56"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1"/>
          <w:szCs w:val="21"/>
          <w:b w:val="1"/>
          <w:bCs w:val="1"/>
          <w:color w:val="auto"/>
        </w:rPr>
        <w:t>Third Party Information</w:t>
      </w:r>
      <w:r>
        <w:rPr>
          <w:rFonts w:ascii="Arial" w:cs="Arial" w:eastAsia="Arial" w:hAnsi="Arial"/>
          <w:sz w:val="21"/>
          <w:szCs w:val="21"/>
          <w:color w:val="auto"/>
        </w:rPr>
        <w:t>. I understand, in addition, that Company has received and in the future will receive from third</w:t>
      </w:r>
      <w:r>
        <w:rPr>
          <w:rFonts w:ascii="Arial" w:cs="Arial" w:eastAsia="Arial" w:hAnsi="Arial"/>
          <w:sz w:val="20"/>
          <w:szCs w:val="20"/>
          <w:b w:val="1"/>
          <w:bCs w:val="1"/>
          <w:color w:val="auto"/>
        </w:rPr>
        <w:t xml:space="preserve"> </w:t>
      </w:r>
      <w:r>
        <w:rPr>
          <w:rFonts w:ascii="Arial" w:cs="Arial" w:eastAsia="Arial" w:hAnsi="Arial"/>
          <w:sz w:val="21"/>
          <w:szCs w:val="21"/>
          <w:color w:val="auto"/>
        </w:rPr>
        <w:t>parties their confidential and/or proprietary knowledge, data or information (</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Third Party Information</w:t>
      </w:r>
      <w:r>
        <w:rPr>
          <w:rFonts w:ascii="Arial" w:cs="Arial" w:eastAsia="Arial" w:hAnsi="Arial"/>
          <w:sz w:val="21"/>
          <w:szCs w:val="21"/>
          <w:b w:val="1"/>
          <w:bCs w:val="1"/>
          <w:color w:val="auto"/>
        </w:rPr>
        <w:t>”</w:t>
      </w:r>
      <w:r>
        <w:rPr>
          <w:rFonts w:ascii="Arial" w:cs="Arial" w:eastAsia="Arial" w:hAnsi="Arial"/>
          <w:sz w:val="21"/>
          <w:szCs w:val="21"/>
          <w:color w:val="auto"/>
        </w:rPr>
        <w:t>) subject to a duty on Company’s part to maintain the confidentiality of such information and to use it only for certain limited purposes. During the term of my employment and thereafter, I will hold Third Party Information in confidence and will not disclose to anyone (other than Company personnel who need to know such information in connection with their work for Company) or use Third Party Information, in each case except in connection with my work for Company, or as otherwise expressly authorized by an officer of Company in writing.</w:t>
      </w:r>
    </w:p>
    <w:p>
      <w:pPr>
        <w:spacing w:after="0" w:line="65"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1"/>
          <w:szCs w:val="21"/>
          <w:b w:val="1"/>
          <w:bCs w:val="1"/>
          <w:color w:val="auto"/>
        </w:rPr>
        <w:t>Term of Nondisclosure Restrictions</w:t>
      </w:r>
      <w:r>
        <w:rPr>
          <w:rFonts w:ascii="Arial" w:cs="Arial" w:eastAsia="Arial" w:hAnsi="Arial"/>
          <w:sz w:val="21"/>
          <w:szCs w:val="21"/>
          <w:color w:val="auto"/>
        </w:rPr>
        <w:t>. I understand that Confidential Information and Third Party Information is only to</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be used or disclosed by me as provided in this Section 1. If a temporal limitation on my obligation not to use or disclose such information is required under applicable law, and the Agreement or its restriction(s) cannot otherwise be enforced, I agree and Company agrees that the two year period after the date my employment ends will be the temporal limitation relevant to the contested restriction; </w:t>
      </w:r>
      <w:r>
        <w:rPr>
          <w:rFonts w:ascii="Arial" w:cs="Arial" w:eastAsia="Arial" w:hAnsi="Arial"/>
          <w:sz w:val="21"/>
          <w:szCs w:val="21"/>
          <w:b w:val="1"/>
          <w:bCs w:val="1"/>
          <w:i w:val="1"/>
          <w:iCs w:val="1"/>
          <w:color w:val="auto"/>
        </w:rPr>
        <w:t>provided, however</w:t>
      </w:r>
      <w:r>
        <w:rPr>
          <w:rFonts w:ascii="Arial" w:cs="Arial" w:eastAsia="Arial" w:hAnsi="Arial"/>
          <w:sz w:val="21"/>
          <w:szCs w:val="21"/>
          <w:b w:val="1"/>
          <w:bCs w:val="1"/>
          <w:color w:val="auto"/>
        </w:rPr>
        <w:t>,</w:t>
      </w:r>
      <w:r>
        <w:rPr>
          <w:rFonts w:ascii="Arial" w:cs="Arial" w:eastAsia="Arial" w:hAnsi="Arial"/>
          <w:sz w:val="21"/>
          <w:szCs w:val="21"/>
          <w:color w:val="auto"/>
        </w:rPr>
        <w:t xml:space="preserve"> that this sentence will not apply to trade secrets protected without temporal limitation under applicable law.</w:t>
      </w:r>
    </w:p>
    <w:p>
      <w:pPr>
        <w:spacing w:after="0" w:line="6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1"/>
          <w:szCs w:val="21"/>
          <w:b w:val="1"/>
          <w:bCs w:val="1"/>
          <w:color w:val="auto"/>
        </w:rPr>
        <w:t>No Improper Use of Information of Prior Employers and Others</w:t>
      </w:r>
      <w:r>
        <w:rPr>
          <w:rFonts w:ascii="Arial" w:cs="Arial" w:eastAsia="Arial" w:hAnsi="Arial"/>
          <w:sz w:val="21"/>
          <w:szCs w:val="21"/>
          <w:color w:val="auto"/>
        </w:rPr>
        <w:t>. During my employment by Company, I will not</w:t>
      </w:r>
      <w:r>
        <w:rPr>
          <w:rFonts w:ascii="Arial" w:cs="Arial" w:eastAsia="Arial" w:hAnsi="Arial"/>
          <w:sz w:val="20"/>
          <w:szCs w:val="20"/>
          <w:b w:val="1"/>
          <w:bCs w:val="1"/>
          <w:color w:val="auto"/>
        </w:rPr>
        <w:t xml:space="preserve"> </w:t>
      </w:r>
      <w:r>
        <w:rPr>
          <w:rFonts w:ascii="Arial" w:cs="Arial" w:eastAsia="Arial" w:hAnsi="Arial"/>
          <w:sz w:val="21"/>
          <w:szCs w:val="21"/>
          <w:color w:val="auto"/>
        </w:rPr>
        <w:t>improperly use or disclose confidential information or trade secrets, if any, of any former employer or any other person to whom I have an obligation of confidentiality, and I will not bring onto the premises of Company any unpublished documents or any property belonging to any former employer or any other person to whom I have an obligation of confidentiality unless consented to in writing by that former employer or person.</w:t>
      </w:r>
    </w:p>
    <w:p>
      <w:pPr>
        <w:spacing w:after="0" w:line="56"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20"/>
          <w:szCs w:val="20"/>
          <w:b w:val="1"/>
          <w:bCs w:val="1"/>
          <w:color w:val="auto"/>
        </w:rPr>
      </w:pPr>
      <w:r>
        <w:rPr>
          <w:rFonts w:ascii="Arial" w:cs="Arial" w:eastAsia="Arial" w:hAnsi="Arial"/>
          <w:sz w:val="22"/>
          <w:szCs w:val="22"/>
          <w:b w:val="1"/>
          <w:bCs w:val="1"/>
          <w:color w:val="auto"/>
        </w:rPr>
        <w:t>Assignments of Inventions</w:t>
      </w:r>
      <w:r>
        <w:rPr>
          <w:rFonts w:ascii="Arial" w:cs="Arial" w:eastAsia="Arial" w:hAnsi="Arial"/>
          <w:sz w:val="22"/>
          <w:szCs w:val="22"/>
          <w:color w:val="auto"/>
        </w:rPr>
        <w: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75" w:right="239" w:bottom="1440" w:gutter="0" w:footer="0" w:header="0"/>
        </w:sectPr>
      </w:pPr>
    </w:p>
    <w:bookmarkStart w:id="118" w:name="page119"/>
    <w:bookmarkEnd w:id="118"/>
    <w:p>
      <w:pPr>
        <w:jc w:val="both"/>
        <w:ind w:firstLine="392"/>
        <w:spacing w:after="0" w:line="272"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20"/>
          <w:szCs w:val="20"/>
          <w:b w:val="1"/>
          <w:bCs w:val="1"/>
          <w:color w:val="auto"/>
        </w:rPr>
        <w:t>Definitions</w:t>
      </w:r>
      <w:r>
        <w:rPr>
          <w:rFonts w:ascii="Arial" w:cs="Arial" w:eastAsia="Arial" w:hAnsi="Arial"/>
          <w:sz w:val="20"/>
          <w:szCs w:val="20"/>
          <w:color w:val="auto"/>
        </w:rPr>
        <w:t>. As used in this Agreement, the term (a)</w:t>
      </w:r>
      <w:r>
        <w:rPr>
          <w:rFonts w:ascii="Arial" w:cs="Arial" w:eastAsia="Arial" w:hAnsi="Arial"/>
          <w:sz w:val="19"/>
          <w:szCs w:val="19"/>
          <w:b w:val="1"/>
          <w:bCs w:val="1"/>
          <w:color w:val="auto"/>
        </w:rPr>
        <w:t xml:space="preserve">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Intellectual Property Rights</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20"/>
          <w:szCs w:val="20"/>
          <w:color w:val="auto"/>
        </w:rPr>
        <w:t>means all past, present and future</w:t>
      </w:r>
      <w:r>
        <w:rPr>
          <w:rFonts w:ascii="Arial" w:cs="Arial" w:eastAsia="Arial" w:hAnsi="Arial"/>
          <w:sz w:val="19"/>
          <w:szCs w:val="19"/>
          <w:b w:val="1"/>
          <w:bCs w:val="1"/>
          <w:color w:val="auto"/>
        </w:rPr>
        <w:t xml:space="preserve"> </w:t>
      </w:r>
      <w:r>
        <w:rPr>
          <w:rFonts w:ascii="Arial" w:cs="Arial" w:eastAsia="Arial" w:hAnsi="Arial"/>
          <w:sz w:val="20"/>
          <w:szCs w:val="20"/>
          <w:color w:val="auto"/>
        </w:rPr>
        <w:t>rights of the following types, which may exist or be created under the laws of any jurisdiction in the world: trade secrets, Copyrights, trademark and trade name rights, mask work rights, patents and industrial property, and all proprietary rights in technology or works of authorized; (b) “</w:t>
      </w:r>
      <w:r>
        <w:rPr>
          <w:rFonts w:ascii="Arial" w:cs="Arial" w:eastAsia="Arial" w:hAnsi="Arial"/>
          <w:sz w:val="20"/>
          <w:szCs w:val="20"/>
          <w:b w:val="1"/>
          <w:bCs w:val="1"/>
          <w:i w:val="1"/>
          <w:iCs w:val="1"/>
          <w:color w:val="auto"/>
        </w:rPr>
        <w:t>Copyright</w:t>
      </w:r>
      <w:r>
        <w:rPr>
          <w:rFonts w:ascii="Arial" w:cs="Arial" w:eastAsia="Arial" w:hAnsi="Arial"/>
          <w:sz w:val="20"/>
          <w:szCs w:val="20"/>
          <w:color w:val="auto"/>
        </w:rPr>
        <w:t>” means the exclusive legal right to reproduce, perform, display, distribute and make derivative works of a work of authorship (as a literary, musical, or artistic work) recognized by the laws of any jurisdiction or country; (c) “</w:t>
      </w:r>
      <w:r>
        <w:rPr>
          <w:rFonts w:ascii="Arial" w:cs="Arial" w:eastAsia="Arial" w:hAnsi="Arial"/>
          <w:sz w:val="20"/>
          <w:szCs w:val="20"/>
          <w:b w:val="1"/>
          <w:bCs w:val="1"/>
          <w:i w:val="1"/>
          <w:iCs w:val="1"/>
          <w:color w:val="auto"/>
        </w:rPr>
        <w:t>Moral Rights</w:t>
      </w:r>
      <w:r>
        <w:rPr>
          <w:rFonts w:ascii="Arial" w:cs="Arial" w:eastAsia="Arial" w:hAnsi="Arial"/>
          <w:sz w:val="20"/>
          <w:szCs w:val="20"/>
          <w:color w:val="auto"/>
        </w:rPr>
        <w:t>” means all paternity, integrity, disclosure, withdrawal, special and any other similar rights recognized by the laws of any jurisdiction or country; (d) “</w:t>
      </w:r>
      <w:r>
        <w:rPr>
          <w:rFonts w:ascii="Arial" w:cs="Arial" w:eastAsia="Arial" w:hAnsi="Arial"/>
          <w:sz w:val="20"/>
          <w:szCs w:val="20"/>
          <w:b w:val="1"/>
          <w:bCs w:val="1"/>
          <w:i w:val="1"/>
          <w:iCs w:val="1"/>
          <w:color w:val="auto"/>
        </w:rPr>
        <w:t>Company Inventions</w:t>
      </w:r>
      <w:r>
        <w:rPr>
          <w:rFonts w:ascii="Arial" w:cs="Arial" w:eastAsia="Arial" w:hAnsi="Arial"/>
          <w:sz w:val="20"/>
          <w:szCs w:val="20"/>
          <w:color w:val="auto"/>
        </w:rPr>
        <w:t>” means any and all Inventions (and all Intellectual Property Rights with respect thereto) that are made, conceived, prepared, produced, authored, edited, amended, reduced to practice, or learned by me, either alone or with others, during the period of my employment by Company, and all printed, physical, and electronic copies, all improvements, rights, and claims related to the foregoing, and other tangible embodiments thereof; and (e) “</w:t>
      </w:r>
      <w:r>
        <w:rPr>
          <w:rFonts w:ascii="Arial" w:cs="Arial" w:eastAsia="Arial" w:hAnsi="Arial"/>
          <w:sz w:val="20"/>
          <w:szCs w:val="20"/>
          <w:b w:val="1"/>
          <w:bCs w:val="1"/>
          <w:i w:val="1"/>
          <w:iCs w:val="1"/>
          <w:color w:val="auto"/>
        </w:rPr>
        <w:t>Nonassignable Inventions</w:t>
      </w:r>
      <w:r>
        <w:rPr>
          <w:rFonts w:ascii="Arial" w:cs="Arial" w:eastAsia="Arial" w:hAnsi="Arial"/>
          <w:sz w:val="20"/>
          <w:szCs w:val="20"/>
          <w:color w:val="auto"/>
        </w:rPr>
        <w:t>” means any Inventions that I develop entirely on my own time without using any of Company’s equipment, supplies, facilities, or trade secret information, except for those Inventions that either: (i) relate at the time of conception or reduction to practice of the Invention to Company’s business, or actual or demonstrably anticipated research or development of Company; (ii) result from any work performed by me for Company; or (iii) are covered by a contract between Company and the United States or any of its agencies that requires full title to such patent or Invention to be in the United States.</w:t>
      </w:r>
    </w:p>
    <w:p>
      <w:pPr>
        <w:spacing w:after="0" w:line="61"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Prior Inventions</w:t>
      </w:r>
      <w:r>
        <w:rPr>
          <w:rFonts w:ascii="Arial" w:cs="Arial" w:eastAsia="Arial" w:hAnsi="Arial"/>
          <w:sz w:val="19"/>
          <w:szCs w:val="19"/>
          <w:color w:val="auto"/>
        </w:rPr>
        <w:t>.</w:t>
      </w:r>
    </w:p>
    <w:p>
      <w:pPr>
        <w:spacing w:after="0" w:line="148" w:lineRule="exact"/>
        <w:rPr>
          <w:sz w:val="20"/>
          <w:szCs w:val="20"/>
          <w:color w:val="auto"/>
        </w:rPr>
      </w:pPr>
    </w:p>
    <w:p>
      <w:pPr>
        <w:jc w:val="both"/>
        <w:ind w:firstLine="1305"/>
        <w:spacing w:after="0" w:line="256" w:lineRule="auto"/>
        <w:tabs>
          <w:tab w:leader="none" w:pos="1748" w:val="left"/>
        </w:tabs>
        <w:numPr>
          <w:ilvl w:val="0"/>
          <w:numId w:val="124"/>
        </w:numPr>
        <w:rPr>
          <w:rFonts w:ascii="Arial" w:cs="Arial" w:eastAsia="Arial" w:hAnsi="Arial"/>
          <w:sz w:val="20"/>
          <w:szCs w:val="20"/>
          <w:b w:val="1"/>
          <w:bCs w:val="1"/>
          <w:color w:val="auto"/>
        </w:rPr>
      </w:pPr>
      <w:r>
        <w:rPr>
          <w:rFonts w:ascii="Arial" w:cs="Arial" w:eastAsia="Arial" w:hAnsi="Arial"/>
          <w:sz w:val="22"/>
          <w:szCs w:val="22"/>
          <w:color w:val="auto"/>
        </w:rPr>
        <w:t xml:space="preserve">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is a list describing all Inventions, if any, that (a) are owned by me or in which I have an interest and that were made or acquired by me prior to my date of first employment by Company, and (b) are not to be assigned to Company (“</w:t>
      </w:r>
      <w:r>
        <w:rPr>
          <w:rFonts w:ascii="Arial" w:cs="Arial" w:eastAsia="Arial" w:hAnsi="Arial"/>
          <w:sz w:val="22"/>
          <w:szCs w:val="22"/>
          <w:b w:val="1"/>
          <w:bCs w:val="1"/>
          <w:i w:val="1"/>
          <w:iCs w:val="1"/>
          <w:color w:val="auto"/>
        </w:rPr>
        <w:t>Prior Inventions</w:t>
      </w:r>
      <w:r>
        <w:rPr>
          <w:rFonts w:ascii="Arial" w:cs="Arial" w:eastAsia="Arial" w:hAnsi="Arial"/>
          <w:sz w:val="22"/>
          <w:szCs w:val="22"/>
          <w:color w:val="auto"/>
        </w:rPr>
        <w:t>”). If no such list is attached, I represent and warrant that no Inventions that would be classified as Prior Inventions exist as of the date of this Agreement.</w:t>
      </w:r>
    </w:p>
    <w:p>
      <w:pPr>
        <w:spacing w:after="0" w:line="182" w:lineRule="exact"/>
        <w:rPr>
          <w:rFonts w:ascii="Arial" w:cs="Arial" w:eastAsia="Arial" w:hAnsi="Arial"/>
          <w:sz w:val="20"/>
          <w:szCs w:val="20"/>
          <w:b w:val="1"/>
          <w:bCs w:val="1"/>
          <w:color w:val="auto"/>
        </w:rPr>
      </w:pPr>
    </w:p>
    <w:p>
      <w:pPr>
        <w:jc w:val="both"/>
        <w:ind w:firstLine="1305"/>
        <w:spacing w:after="0" w:line="258" w:lineRule="auto"/>
        <w:tabs>
          <w:tab w:leader="none" w:pos="1732" w:val="left"/>
        </w:tabs>
        <w:numPr>
          <w:ilvl w:val="0"/>
          <w:numId w:val="124"/>
        </w:numPr>
        <w:rPr>
          <w:rFonts w:ascii="Arial" w:cs="Arial" w:eastAsia="Arial" w:hAnsi="Arial"/>
          <w:sz w:val="19"/>
          <w:szCs w:val="19"/>
          <w:b w:val="1"/>
          <w:bCs w:val="1"/>
          <w:color w:val="auto"/>
        </w:rPr>
      </w:pPr>
      <w:r>
        <w:rPr>
          <w:rFonts w:ascii="Arial" w:cs="Arial" w:eastAsia="Arial" w:hAnsi="Arial"/>
          <w:sz w:val="21"/>
          <w:szCs w:val="21"/>
          <w:color w:val="auto"/>
        </w:rPr>
        <w:t>I acknowledge and agree that if I use any Prior Inventions and/or Nonassignable Inventions in the scope of my employment, or if I include any Prior Inventions or Nonassignable Inventions in any product or service of Company, or if my rights in any Prior Inventions or any Nonassignable Inventions may block or interfere with, or may otherwise be required for, the exercise by Company of any rights assigned to Company under this Agreement (each, a “</w:t>
      </w:r>
      <w:r>
        <w:rPr>
          <w:rFonts w:ascii="Arial" w:cs="Arial" w:eastAsia="Arial" w:hAnsi="Arial"/>
          <w:sz w:val="21"/>
          <w:szCs w:val="21"/>
          <w:b w:val="1"/>
          <w:bCs w:val="1"/>
          <w:i w:val="1"/>
          <w:iCs w:val="1"/>
          <w:color w:val="auto"/>
        </w:rPr>
        <w:t>License Event</w:t>
      </w:r>
      <w:r>
        <w:rPr>
          <w:rFonts w:ascii="Arial" w:cs="Arial" w:eastAsia="Arial" w:hAnsi="Arial"/>
          <w:sz w:val="21"/>
          <w:szCs w:val="21"/>
          <w:color w:val="auto"/>
        </w:rPr>
        <w:t>”), I will immediately so notify Company in writing. Unless Company and I agree otherwise in writing as to particular Prior Inventions or Nonassignable Invention, I hereby grant to Company, (whether or not I give Company notice as required above), a non-exclusive, perpetual, transferable,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Prior Inventions and Nonassignable Inventions, provided that the foregoing license shall only apply in connection with a License Event. To the extent that any third parties have any rights in or to any Prior Inventions or any Nonassignable Inventions, I hereby represent and warrant that such third party or parties have validly and irrevocably granted to me the right to grant the license stated above.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9" w:right="239" w:bottom="1440" w:gutter="0" w:footer="0" w:header="0"/>
        </w:sectPr>
      </w:pPr>
    </w:p>
    <w:bookmarkStart w:id="119" w:name="page120"/>
    <w:bookmarkEnd w:id="119"/>
    <w:p>
      <w:pPr>
        <w:jc w:val="both"/>
        <w:ind w:firstLine="392"/>
        <w:spacing w:after="0" w:line="260"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1"/>
          <w:szCs w:val="21"/>
          <w:b w:val="1"/>
          <w:bCs w:val="1"/>
          <w:color w:val="auto"/>
        </w:rPr>
        <w:t>Assignment of Company Inventions</w:t>
      </w:r>
      <w:r>
        <w:rPr>
          <w:rFonts w:ascii="Arial" w:cs="Arial" w:eastAsia="Arial" w:hAnsi="Arial"/>
          <w:sz w:val="21"/>
          <w:szCs w:val="21"/>
          <w:color w:val="auto"/>
        </w:rPr>
        <w:t>. Except for Nonassignable Inventions, I hereby assign to Employer all my right,</w:t>
      </w:r>
      <w:r>
        <w:rPr>
          <w:rFonts w:ascii="Arial" w:cs="Arial" w:eastAsia="Arial" w:hAnsi="Arial"/>
          <w:sz w:val="20"/>
          <w:szCs w:val="20"/>
          <w:b w:val="1"/>
          <w:bCs w:val="1"/>
          <w:color w:val="auto"/>
        </w:rPr>
        <w:t xml:space="preserve"> </w:t>
      </w:r>
      <w:r>
        <w:rPr>
          <w:rFonts w:ascii="Arial" w:cs="Arial" w:eastAsia="Arial" w:hAnsi="Arial"/>
          <w:sz w:val="21"/>
          <w:szCs w:val="21"/>
          <w:color w:val="auto"/>
        </w:rPr>
        <w:t>title, and interest in and to any and all Company Inventions and all Intellectual Property Rights related thereto. Any assignment of Company Inventions (and all Intellectual Property Rights with respect thereto) hereunder includes an assignment of all Moral Rights. To the extent such Moral Rights cannot be assigned to Employer and to the extent the following is allowed by the laws in any country where Moral Rights exist, I hereby unconditionally and irrevocably waive the enforcement of such Moral Rights, and all claims and causes of action of any kind against Employer or related to Employer’s customers, with respect to such rights. I further acknowledge and agree that neither my successors-in-interest nor legal heirs retain any Moral Rights in any Company Inventions (and any Intellectual Property Rights with respect thereto). Nothing contained in this Agreement shall be construed to reduce or limit Company’s rights, title, or interest in any Company Inventions so as to be less in any respect than that Company would have had in the absence of this Agreement.</w:t>
      </w:r>
    </w:p>
    <w:p>
      <w:pPr>
        <w:spacing w:after="0" w:line="126" w:lineRule="exact"/>
        <w:rPr>
          <w:sz w:val="20"/>
          <w:szCs w:val="20"/>
          <w:color w:val="auto"/>
        </w:rPr>
      </w:pPr>
    </w:p>
    <w:p>
      <w:pPr>
        <w:jc w:val="both"/>
        <w:ind w:right="20" w:firstLine="405"/>
        <w:spacing w:after="0" w:line="307"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1"/>
          <w:szCs w:val="21"/>
          <w:b w:val="1"/>
          <w:bCs w:val="1"/>
          <w:color w:val="auto"/>
        </w:rPr>
        <w:t>Nonassignable Inventions</w:t>
      </w:r>
      <w:r>
        <w:rPr>
          <w:rFonts w:ascii="Arial" w:cs="Arial" w:eastAsia="Arial" w:hAnsi="Arial"/>
          <w:sz w:val="21"/>
          <w:szCs w:val="21"/>
          <w:color w:val="auto"/>
        </w:rPr>
        <w:t>. I acknowledge that, in accordance with California Labor Code section 2870(a), nothing in</w:t>
      </w:r>
      <w:r>
        <w:rPr>
          <w:rFonts w:ascii="Arial" w:cs="Arial" w:eastAsia="Arial" w:hAnsi="Arial"/>
          <w:sz w:val="20"/>
          <w:szCs w:val="20"/>
          <w:b w:val="1"/>
          <w:bCs w:val="1"/>
          <w:color w:val="auto"/>
        </w:rPr>
        <w:t xml:space="preserve"> </w:t>
      </w:r>
      <w:r>
        <w:rPr>
          <w:rFonts w:ascii="Arial" w:cs="Arial" w:eastAsia="Arial" w:hAnsi="Arial"/>
          <w:sz w:val="21"/>
          <w:szCs w:val="21"/>
          <w:color w:val="auto"/>
        </w:rPr>
        <w:t>this Agreement shall require me to assign a Nonassignable Invention to Company.</w:t>
      </w:r>
    </w:p>
    <w:p>
      <w:pPr>
        <w:spacing w:after="0" w:line="125"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20"/>
          <w:szCs w:val="20"/>
          <w:b w:val="1"/>
          <w:bCs w:val="1"/>
          <w:color w:val="auto"/>
        </w:rPr>
        <w:t xml:space="preserve">2.5 </w:t>
      </w:r>
      <w:r>
        <w:rPr>
          <w:rFonts w:ascii="Arial" w:cs="Arial" w:eastAsia="Arial" w:hAnsi="Arial"/>
          <w:sz w:val="21"/>
          <w:szCs w:val="21"/>
          <w:b w:val="1"/>
          <w:bCs w:val="1"/>
          <w:color w:val="auto"/>
        </w:rPr>
        <w:t>Obligation to Keep Company Informed</w:t>
      </w:r>
      <w:r>
        <w:rPr>
          <w:rFonts w:ascii="Arial" w:cs="Arial" w:eastAsia="Arial" w:hAnsi="Arial"/>
          <w:sz w:val="21"/>
          <w:szCs w:val="21"/>
          <w:color w:val="auto"/>
        </w:rPr>
        <w:t>. During the period of my employment, I will promptly and fully disclose to</w:t>
      </w:r>
      <w:r>
        <w:rPr>
          <w:rFonts w:ascii="Arial" w:cs="Arial" w:eastAsia="Arial" w:hAnsi="Arial"/>
          <w:sz w:val="20"/>
          <w:szCs w:val="20"/>
          <w:b w:val="1"/>
          <w:bCs w:val="1"/>
          <w:color w:val="auto"/>
        </w:rPr>
        <w:t xml:space="preserve"> </w:t>
      </w:r>
      <w:r>
        <w:rPr>
          <w:rFonts w:ascii="Arial" w:cs="Arial" w:eastAsia="Arial" w:hAnsi="Arial"/>
          <w:sz w:val="21"/>
          <w:szCs w:val="21"/>
          <w:color w:val="auto"/>
        </w:rPr>
        <w:t>Company in writing all Inventions authored, conceived, or reduced to practice by me, either alone or jointly with others. At the time of each such disclosure, I will advise Company in writing of any Inventions that constitute Nonassignable Inventions; and I will at that time provide to Company in writing all evidence necessary to substantiate that belief. Company will keep in confidence and will not use for any purpose or disclose to third parties without my consent any confidential information disclosed in writing to Company pursuant to this Agreement relating to such Inventions.</w:t>
      </w:r>
    </w:p>
    <w:p>
      <w:pPr>
        <w:spacing w:after="0" w:line="169"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2.6 </w:t>
      </w:r>
      <w:r>
        <w:rPr>
          <w:rFonts w:ascii="Arial" w:cs="Arial" w:eastAsia="Arial" w:hAnsi="Arial"/>
          <w:sz w:val="21"/>
          <w:szCs w:val="21"/>
          <w:b w:val="1"/>
          <w:bCs w:val="1"/>
          <w:color w:val="auto"/>
        </w:rPr>
        <w:t>Government or Third Party</w:t>
      </w:r>
      <w:r>
        <w:rPr>
          <w:rFonts w:ascii="Arial" w:cs="Arial" w:eastAsia="Arial" w:hAnsi="Arial"/>
          <w:sz w:val="21"/>
          <w:szCs w:val="21"/>
          <w:color w:val="auto"/>
        </w:rPr>
        <w:t>. I agree that, as directed by Company, I will assign to a third party, including without</w:t>
      </w:r>
      <w:r>
        <w:rPr>
          <w:rFonts w:ascii="Arial" w:cs="Arial" w:eastAsia="Arial" w:hAnsi="Arial"/>
          <w:sz w:val="20"/>
          <w:szCs w:val="20"/>
          <w:b w:val="1"/>
          <w:bCs w:val="1"/>
          <w:color w:val="auto"/>
        </w:rPr>
        <w:t xml:space="preserve"> </w:t>
      </w:r>
      <w:r>
        <w:rPr>
          <w:rFonts w:ascii="Arial" w:cs="Arial" w:eastAsia="Arial" w:hAnsi="Arial"/>
          <w:sz w:val="21"/>
          <w:szCs w:val="21"/>
          <w:color w:val="auto"/>
        </w:rPr>
        <w:t>limitation the United States, all my right, title, and interest in and to any particular Company Invention.</w:t>
      </w:r>
    </w:p>
    <w:p>
      <w:pPr>
        <w:spacing w:after="0" w:line="1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2.7 </w:t>
      </w:r>
      <w:r>
        <w:rPr>
          <w:rFonts w:ascii="Arial" w:cs="Arial" w:eastAsia="Arial" w:hAnsi="Arial"/>
          <w:sz w:val="21"/>
          <w:szCs w:val="21"/>
          <w:b w:val="1"/>
          <w:bCs w:val="1"/>
          <w:color w:val="auto"/>
        </w:rPr>
        <w:t>Ownership of Work Product</w:t>
      </w:r>
      <w:r>
        <w:rPr>
          <w:rFonts w:ascii="Arial" w:cs="Arial" w:eastAsia="Arial" w:hAnsi="Arial"/>
          <w:sz w:val="21"/>
          <w:szCs w:val="21"/>
          <w:color w:val="auto"/>
        </w:rPr>
        <w:t>. I acknowledge that all original works of authorship which are made by me (solely or</w:t>
      </w:r>
      <w:r>
        <w:rPr>
          <w:rFonts w:ascii="Arial" w:cs="Arial" w:eastAsia="Arial" w:hAnsi="Arial"/>
          <w:sz w:val="20"/>
          <w:szCs w:val="20"/>
          <w:b w:val="1"/>
          <w:bCs w:val="1"/>
          <w:color w:val="auto"/>
        </w:rPr>
        <w:t xml:space="preserve"> </w:t>
      </w:r>
      <w:r>
        <w:rPr>
          <w:rFonts w:ascii="Arial" w:cs="Arial" w:eastAsia="Arial" w:hAnsi="Arial"/>
          <w:sz w:val="21"/>
          <w:szCs w:val="21"/>
          <w:color w:val="auto"/>
        </w:rPr>
        <w:t>jointly with others) within the scope of my employment and which are protectable by Copyright are “works made for hire,” pursuant to United States Copyright Act (17 U.S.C., Section 101).</w:t>
      </w:r>
    </w:p>
    <w:p>
      <w:pPr>
        <w:spacing w:after="0" w:line="43" w:lineRule="exact"/>
        <w:rPr>
          <w:sz w:val="20"/>
          <w:szCs w:val="20"/>
          <w:color w:val="auto"/>
        </w:rPr>
      </w:pPr>
    </w:p>
    <w:p>
      <w:pPr>
        <w:jc w:val="both"/>
        <w:ind w:firstLine="392"/>
        <w:spacing w:after="0" w:line="275" w:lineRule="auto"/>
        <w:rPr>
          <w:sz w:val="20"/>
          <w:szCs w:val="20"/>
          <w:color w:val="auto"/>
        </w:rPr>
      </w:pPr>
      <w:r>
        <w:rPr>
          <w:rFonts w:ascii="Arial" w:cs="Arial" w:eastAsia="Arial" w:hAnsi="Arial"/>
          <w:sz w:val="19"/>
          <w:szCs w:val="19"/>
          <w:b w:val="1"/>
          <w:bCs w:val="1"/>
          <w:color w:val="auto"/>
        </w:rPr>
        <w:t xml:space="preserve">2.8 </w:t>
      </w:r>
      <w:r>
        <w:rPr>
          <w:rFonts w:ascii="Arial" w:cs="Arial" w:eastAsia="Arial" w:hAnsi="Arial"/>
          <w:sz w:val="20"/>
          <w:szCs w:val="20"/>
          <w:b w:val="1"/>
          <w:bCs w:val="1"/>
          <w:color w:val="auto"/>
        </w:rPr>
        <w:t>Enforcement of Intellectual Property Rights and Assistance</w:t>
      </w:r>
      <w:r>
        <w:rPr>
          <w:rFonts w:ascii="Arial" w:cs="Arial" w:eastAsia="Arial" w:hAnsi="Arial"/>
          <w:sz w:val="20"/>
          <w:szCs w:val="20"/>
          <w:color w:val="auto"/>
        </w:rPr>
        <w:t>. I will assist Company in every proper way to obtain, and</w:t>
      </w:r>
      <w:r>
        <w:rPr>
          <w:rFonts w:ascii="Arial" w:cs="Arial" w:eastAsia="Arial" w:hAnsi="Arial"/>
          <w:sz w:val="19"/>
          <w:szCs w:val="19"/>
          <w:b w:val="1"/>
          <w:bCs w:val="1"/>
          <w:color w:val="auto"/>
        </w:rPr>
        <w:t xml:space="preserve"> </w:t>
      </w:r>
      <w:r>
        <w:rPr>
          <w:rFonts w:ascii="Arial" w:cs="Arial" w:eastAsia="Arial" w:hAnsi="Arial"/>
          <w:sz w:val="20"/>
          <w:szCs w:val="20"/>
          <w:color w:val="auto"/>
        </w:rPr>
        <w:t>from time to time enforce, United States and foreign Intellectual Property Rights and Moral Rights relating to Company Inventions in any and all countries. To that end I will execute, verify and deliver such documents and perform such other acts (including appearances as a witness) as Company may reasonably request for use in applying for, obtaining, perfecting, evidencing, sustaining and enforcing such Intellectual Property Rights and the assignment thereof. In addition, I will execute, verify and deliver assignments of such Intellectual Property Rights to Employer or its designee, including the United States or any third party designated by Employer. My obligation to assist Company with respect to Intellectual Property Rights relating to Company Inventions in any and all countries will continue beyond the termination of my employment, but Company will compensate me at a reasonable rate after such termination for the time actually spent by me at Company’s request on such assistance. In the event Company is unable for any reason, after reasonable effort, to secure my signature on any document needed in connection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9" w:right="239" w:bottom="1440" w:gutter="0" w:footer="0" w:header="0"/>
        </w:sectPr>
      </w:pPr>
    </w:p>
    <w:bookmarkStart w:id="120" w:name="page121"/>
    <w:bookmarkEnd w:id="120"/>
    <w:p>
      <w:pPr>
        <w:jc w:val="both"/>
        <w:spacing w:after="0" w:line="247" w:lineRule="auto"/>
        <w:rPr>
          <w:sz w:val="20"/>
          <w:szCs w:val="20"/>
          <w:color w:val="auto"/>
        </w:rPr>
      </w:pPr>
      <w:r>
        <w:rPr>
          <w:rFonts w:ascii="Arial" w:cs="Arial" w:eastAsia="Arial" w:hAnsi="Arial"/>
          <w:sz w:val="22"/>
          <w:szCs w:val="22"/>
          <w:color w:val="auto"/>
        </w:rPr>
        <w:t>with the actions specified in this paragraph, I hereby irrevocably designate and appoint Employer and its duly authorized officers and agents as my agent and attorney in fact, which appointment is coupled with an interest, to act for and on my behalf to execute, verify and file any such documents and to do all other lawfully permitted acts to further the purposes of the preceding paragraph with the same legal force and effect as if executed by me. I hereby waive and quitclaim to Company any and all claims, of any nature whatsoever, which I now or may hereafter have for infringement of any Intellectual Property Rights assigned under this Agreement to Employer.</w:t>
      </w:r>
    </w:p>
    <w:p>
      <w:pPr>
        <w:spacing w:after="0" w:line="80"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2.9 </w:t>
      </w:r>
      <w:r>
        <w:rPr>
          <w:rFonts w:ascii="Arial" w:cs="Arial" w:eastAsia="Arial" w:hAnsi="Arial"/>
          <w:sz w:val="21"/>
          <w:szCs w:val="21"/>
          <w:b w:val="1"/>
          <w:bCs w:val="1"/>
          <w:color w:val="auto"/>
        </w:rPr>
        <w:t>Incorporation of Software Code</w:t>
      </w:r>
      <w:r>
        <w:rPr>
          <w:rFonts w:ascii="Arial" w:cs="Arial" w:eastAsia="Arial" w:hAnsi="Arial"/>
          <w:sz w:val="21"/>
          <w:szCs w:val="21"/>
          <w:color w:val="auto"/>
        </w:rPr>
        <w:t>. I agree that I will not incorporate into any Inventions, including any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 </w:t>
      </w:r>
      <w:r>
        <w:rPr>
          <w:rFonts w:ascii="Arial" w:cs="Arial" w:eastAsia="Arial" w:hAnsi="Arial"/>
          <w:sz w:val="21"/>
          <w:szCs w:val="21"/>
          <w:b w:val="1"/>
          <w:bCs w:val="1"/>
          <w:color w:val="auto"/>
        </w:rPr>
        <w:t>except</w:t>
      </w:r>
      <w:r>
        <w:rPr>
          <w:rFonts w:ascii="Arial" w:cs="Arial" w:eastAsia="Arial" w:hAnsi="Arial"/>
          <w:sz w:val="21"/>
          <w:szCs w:val="21"/>
          <w:color w:val="auto"/>
        </w:rPr>
        <w:t xml:space="preserve"> in strict compliance with Company’s policies regarding the use of such software.</w:t>
      </w:r>
    </w:p>
    <w:p>
      <w:pPr>
        <w:spacing w:after="0" w:line="56" w:lineRule="exact"/>
        <w:rPr>
          <w:sz w:val="20"/>
          <w:szCs w:val="20"/>
          <w:color w:val="auto"/>
        </w:rPr>
      </w:pPr>
    </w:p>
    <w:p>
      <w:pPr>
        <w:jc w:val="both"/>
        <w:ind w:firstLine="8"/>
        <w:spacing w:after="0" w:line="256" w:lineRule="auto"/>
        <w:tabs>
          <w:tab w:leader="none" w:pos="355" w:val="left"/>
        </w:tabs>
        <w:numPr>
          <w:ilvl w:val="0"/>
          <w:numId w:val="125"/>
        </w:numPr>
        <w:rPr>
          <w:rFonts w:ascii="Arial" w:cs="Arial" w:eastAsia="Arial" w:hAnsi="Arial"/>
          <w:sz w:val="20"/>
          <w:szCs w:val="20"/>
          <w:b w:val="1"/>
          <w:bCs w:val="1"/>
          <w:color w:val="auto"/>
        </w:rPr>
      </w:pPr>
      <w:r>
        <w:rPr>
          <w:rFonts w:ascii="Arial" w:cs="Arial" w:eastAsia="Arial" w:hAnsi="Arial"/>
          <w:sz w:val="22"/>
          <w:szCs w:val="22"/>
          <w:b w:val="1"/>
          <w:bCs w:val="1"/>
          <w:color w:val="auto"/>
        </w:rPr>
        <w:t>Records</w:t>
      </w:r>
      <w:r>
        <w:rPr>
          <w:rFonts w:ascii="Arial" w:cs="Arial" w:eastAsia="Arial" w:hAnsi="Arial"/>
          <w:sz w:val="22"/>
          <w:szCs w:val="22"/>
          <w:color w:val="auto"/>
        </w:rPr>
        <w:t>. I agree to keep and maintain adequate and current records (in the form of notes, sketches, drawings and in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form that is required by Company) of all Confidential Information developed by me and all Company Inventions made by me during the period of my employment at Company, which records will be available to and remain the sole property of Employer at all times.</w:t>
      </w:r>
    </w:p>
    <w:p>
      <w:pPr>
        <w:spacing w:after="0" w:line="176" w:lineRule="exact"/>
        <w:rPr>
          <w:rFonts w:ascii="Arial" w:cs="Arial" w:eastAsia="Arial" w:hAnsi="Arial"/>
          <w:sz w:val="20"/>
          <w:szCs w:val="20"/>
          <w:b w:val="1"/>
          <w:bCs w:val="1"/>
          <w:color w:val="auto"/>
        </w:rPr>
      </w:pPr>
    </w:p>
    <w:p>
      <w:pPr>
        <w:jc w:val="both"/>
        <w:ind w:firstLine="8"/>
        <w:spacing w:after="0" w:line="262" w:lineRule="auto"/>
        <w:tabs>
          <w:tab w:leader="none" w:pos="409" w:val="left"/>
        </w:tabs>
        <w:numPr>
          <w:ilvl w:val="0"/>
          <w:numId w:val="125"/>
        </w:numPr>
        <w:rPr>
          <w:rFonts w:ascii="Arial" w:cs="Arial" w:eastAsia="Arial" w:hAnsi="Arial"/>
          <w:sz w:val="20"/>
          <w:szCs w:val="20"/>
          <w:b w:val="1"/>
          <w:bCs w:val="1"/>
          <w:color w:val="auto"/>
        </w:rPr>
      </w:pPr>
      <w:r>
        <w:rPr>
          <w:rFonts w:ascii="Arial" w:cs="Arial" w:eastAsia="Arial" w:hAnsi="Arial"/>
          <w:sz w:val="22"/>
          <w:szCs w:val="22"/>
          <w:b w:val="1"/>
          <w:bCs w:val="1"/>
          <w:color w:val="auto"/>
        </w:rPr>
        <w:t>Duty of Loyalty During Employment</w:t>
      </w:r>
      <w:r>
        <w:rPr>
          <w:rFonts w:ascii="Arial" w:cs="Arial" w:eastAsia="Arial" w:hAnsi="Arial"/>
          <w:sz w:val="22"/>
          <w:szCs w:val="22"/>
          <w:color w:val="auto"/>
        </w:rPr>
        <w:t>. I agree that during the period of my employment by Company, I will not,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express written consent, directly or indirectly engage in any employment or business activity which is directly or indirectly competitive with, or would otherwise conflict with, my employment by Company.</w:t>
      </w:r>
    </w:p>
    <w:p>
      <w:pPr>
        <w:spacing w:after="0" w:line="62" w:lineRule="exact"/>
        <w:rPr>
          <w:rFonts w:ascii="Arial" w:cs="Arial" w:eastAsia="Arial" w:hAnsi="Arial"/>
          <w:sz w:val="20"/>
          <w:szCs w:val="20"/>
          <w:b w:val="1"/>
          <w:bCs w:val="1"/>
          <w:color w:val="auto"/>
        </w:rPr>
      </w:pPr>
    </w:p>
    <w:p>
      <w:pPr>
        <w:jc w:val="both"/>
        <w:ind w:firstLine="8"/>
        <w:spacing w:after="0" w:line="265" w:lineRule="auto"/>
        <w:tabs>
          <w:tab w:leader="none" w:pos="342" w:val="left"/>
        </w:tabs>
        <w:numPr>
          <w:ilvl w:val="0"/>
          <w:numId w:val="125"/>
        </w:numPr>
        <w:rPr>
          <w:rFonts w:ascii="Arial" w:cs="Arial" w:eastAsia="Arial" w:hAnsi="Arial"/>
          <w:sz w:val="19"/>
          <w:szCs w:val="19"/>
          <w:b w:val="1"/>
          <w:bCs w:val="1"/>
          <w:color w:val="auto"/>
        </w:rPr>
      </w:pPr>
      <w:r>
        <w:rPr>
          <w:rFonts w:ascii="Arial" w:cs="Arial" w:eastAsia="Arial" w:hAnsi="Arial"/>
          <w:sz w:val="21"/>
          <w:szCs w:val="21"/>
          <w:b w:val="1"/>
          <w:bCs w:val="1"/>
          <w:color w:val="auto"/>
        </w:rPr>
        <w:t>No Solicitation of Employees, Consultants or Contractors</w:t>
      </w:r>
      <w:r>
        <w:rPr>
          <w:rFonts w:ascii="Arial" w:cs="Arial" w:eastAsia="Arial" w:hAnsi="Arial"/>
          <w:sz w:val="21"/>
          <w:szCs w:val="21"/>
          <w:color w:val="auto"/>
        </w:rPr>
        <w:t>. I agree that during the period of my employment and for the one</w:t>
      </w:r>
      <w:r>
        <w:rPr>
          <w:rFonts w:ascii="Arial" w:cs="Arial" w:eastAsia="Arial" w:hAnsi="Arial"/>
          <w:sz w:val="21"/>
          <w:szCs w:val="21"/>
          <w:b w:val="1"/>
          <w:bCs w:val="1"/>
          <w:color w:val="auto"/>
        </w:rPr>
        <w:t xml:space="preserve"> </w:t>
      </w:r>
      <w:r>
        <w:rPr>
          <w:rFonts w:ascii="Arial" w:cs="Arial" w:eastAsia="Arial" w:hAnsi="Arial"/>
          <w:sz w:val="21"/>
          <w:szCs w:val="21"/>
          <w:color w:val="auto"/>
        </w:rPr>
        <w:t>year period after the date my employment ends for any reason, including but not limited to voluntary termination by me or involuntary termination by Company, I will not, as an officer, director, employee, consultant, owner, partner, or in any other capacity, either directly or through others, except on behalf of Company, solicit, induce, encourage, or participate in soliciting, inducing or encouraging any person known to me to be an employee, consultant, or independent contractor of Company to terminate his or her relationship with Company, even if I did not initiate the discussion or seek out the contact.</w:t>
      </w:r>
    </w:p>
    <w:p>
      <w:pPr>
        <w:spacing w:after="0" w:line="61" w:lineRule="exact"/>
        <w:rPr>
          <w:rFonts w:ascii="Arial" w:cs="Arial" w:eastAsia="Arial" w:hAnsi="Arial"/>
          <w:sz w:val="19"/>
          <w:szCs w:val="19"/>
          <w:b w:val="1"/>
          <w:bCs w:val="1"/>
          <w:color w:val="auto"/>
        </w:rPr>
      </w:pPr>
    </w:p>
    <w:p>
      <w:pPr>
        <w:ind w:left="340" w:hanging="332"/>
        <w:spacing w:after="0"/>
        <w:tabs>
          <w:tab w:leader="none" w:pos="340" w:val="left"/>
        </w:tabs>
        <w:numPr>
          <w:ilvl w:val="0"/>
          <w:numId w:val="125"/>
        </w:numPr>
        <w:rPr>
          <w:rFonts w:ascii="Arial" w:cs="Arial" w:eastAsia="Arial" w:hAnsi="Arial"/>
          <w:sz w:val="20"/>
          <w:szCs w:val="20"/>
          <w:b w:val="1"/>
          <w:bCs w:val="1"/>
          <w:color w:val="auto"/>
        </w:rPr>
      </w:pPr>
      <w:r>
        <w:rPr>
          <w:rFonts w:ascii="Arial" w:cs="Arial" w:eastAsia="Arial" w:hAnsi="Arial"/>
          <w:sz w:val="22"/>
          <w:szCs w:val="22"/>
          <w:b w:val="1"/>
          <w:bCs w:val="1"/>
          <w:color w:val="auto"/>
        </w:rPr>
        <w:t>Reasonableness of Restrictions</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20"/>
          <w:szCs w:val="20"/>
          <w:color w:val="auto"/>
        </w:rPr>
        <w:t>I agree that I have read this entire Agreement and understand it. I agree that this Agreement does not prevent me from</w:t>
      </w:r>
      <w:r>
        <w:rPr>
          <w:rFonts w:ascii="Arial" w:cs="Arial" w:eastAsia="Arial" w:hAnsi="Arial"/>
          <w:sz w:val="19"/>
          <w:szCs w:val="19"/>
          <w:b w:val="1"/>
          <w:bCs w:val="1"/>
          <w:color w:val="auto"/>
        </w:rPr>
        <w:t xml:space="preserve"> </w:t>
      </w:r>
      <w:r>
        <w:rPr>
          <w:rFonts w:ascii="Arial" w:cs="Arial" w:eastAsia="Arial" w:hAnsi="Arial"/>
          <w:sz w:val="20"/>
          <w:szCs w:val="20"/>
          <w:color w:val="auto"/>
        </w:rPr>
        <w:t>earning a living or pursuing my career. I agree that the restrictions contained in this Agreement are reasonable, proper, and necessitated by Company’s legitimate business interests. I represent and agree that I am entering into this Agreement freely and with knowledge of its contents with the intent to be bound by the Agreement and the restrictions contained in it.</w:t>
      </w:r>
    </w:p>
    <w:p>
      <w:pPr>
        <w:spacing w:after="0" w:line="1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1"/>
          <w:szCs w:val="21"/>
          <w:color w:val="auto"/>
        </w:rPr>
        <w:t>In the event that a court finds this Agreement, or any of its restrictions, to be ambiguous, unenforceable, or invalid, I</w:t>
      </w:r>
      <w:r>
        <w:rPr>
          <w:rFonts w:ascii="Arial" w:cs="Arial" w:eastAsia="Arial" w:hAnsi="Arial"/>
          <w:sz w:val="20"/>
          <w:szCs w:val="20"/>
          <w:b w:val="1"/>
          <w:bCs w:val="1"/>
          <w:color w:val="auto"/>
        </w:rPr>
        <w:t xml:space="preserve"> </w:t>
      </w:r>
      <w:r>
        <w:rPr>
          <w:rFonts w:ascii="Arial" w:cs="Arial" w:eastAsia="Arial" w:hAnsi="Arial"/>
          <w:sz w:val="21"/>
          <w:szCs w:val="21"/>
          <w:color w:val="auto"/>
        </w:rPr>
        <w:t>and Company agree that the court will read the Agreement as a whole and interpret the restriction(s) at issue to be enforceable and valid to the maximum extent allowed by law.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75" w:right="239" w:bottom="1440" w:gutter="0" w:footer="0" w:header="0"/>
        </w:sectPr>
      </w:pPr>
    </w:p>
    <w:bookmarkStart w:id="121" w:name="page122"/>
    <w:bookmarkEnd w:id="121"/>
    <w:p>
      <w:pPr>
        <w:jc w:val="both"/>
        <w:ind w:firstLine="648"/>
        <w:spacing w:after="0" w:line="278" w:lineRule="auto"/>
        <w:rPr>
          <w:sz w:val="20"/>
          <w:szCs w:val="20"/>
          <w:color w:val="auto"/>
        </w:rPr>
      </w:pPr>
      <w:r>
        <w:rPr>
          <w:rFonts w:ascii="Arial" w:cs="Arial" w:eastAsia="Arial" w:hAnsi="Arial"/>
          <w:sz w:val="20"/>
          <w:szCs w:val="20"/>
          <w:b w:val="1"/>
          <w:bCs w:val="1"/>
          <w:color w:val="auto"/>
        </w:rPr>
        <w:t xml:space="preserve">6.3 </w:t>
      </w:r>
      <w:r>
        <w:rPr>
          <w:rFonts w:ascii="Arial" w:cs="Arial" w:eastAsia="Arial" w:hAnsi="Arial"/>
          <w:sz w:val="21"/>
          <w:szCs w:val="21"/>
          <w:color w:val="auto"/>
        </w:rPr>
        <w:t>If the court declines to enforce this Agreement in the manner provided in subsection 6.2 and/or Section 12.1,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and I agree that this Agreement will be automatically modified to provide Company with the maximum protection of its business interests allowed by law and I agree to be bound by this Agreement as modified.</w:t>
      </w:r>
    </w:p>
    <w:p>
      <w:pPr>
        <w:spacing w:after="0" w:line="154" w:lineRule="exact"/>
        <w:rPr>
          <w:sz w:val="20"/>
          <w:szCs w:val="20"/>
          <w:color w:val="auto"/>
        </w:rPr>
      </w:pPr>
    </w:p>
    <w:p>
      <w:pPr>
        <w:jc w:val="both"/>
        <w:ind w:firstLine="8"/>
        <w:spacing w:after="0" w:line="256" w:lineRule="auto"/>
        <w:tabs>
          <w:tab w:leader="none" w:pos="436" w:val="left"/>
        </w:tabs>
        <w:numPr>
          <w:ilvl w:val="0"/>
          <w:numId w:val="126"/>
        </w:numPr>
        <w:rPr>
          <w:rFonts w:ascii="Arial" w:cs="Arial" w:eastAsia="Arial" w:hAnsi="Arial"/>
          <w:sz w:val="20"/>
          <w:szCs w:val="20"/>
          <w:b w:val="1"/>
          <w:bCs w:val="1"/>
          <w:color w:val="auto"/>
        </w:rPr>
      </w:pPr>
      <w:r>
        <w:rPr>
          <w:rFonts w:ascii="Arial" w:cs="Arial" w:eastAsia="Arial" w:hAnsi="Arial"/>
          <w:sz w:val="22"/>
          <w:szCs w:val="22"/>
          <w:b w:val="1"/>
          <w:bCs w:val="1"/>
          <w:color w:val="auto"/>
        </w:rPr>
        <w:t>No Conflicting Agreement or Obligation</w:t>
      </w:r>
      <w:r>
        <w:rPr>
          <w:rFonts w:ascii="Arial" w:cs="Arial" w:eastAsia="Arial" w:hAnsi="Arial"/>
          <w:sz w:val="22"/>
          <w:szCs w:val="22"/>
          <w:color w:val="auto"/>
        </w:rPr>
        <w:t>. I represent that my performance of all the terms of this Agreement and as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Company does not and will not breach any agreement to keep in confidence information acquired by me in confidence or in trust prior to my employment by Company. I have not entered into, and I agree I will not enter into, any agreement either written or oral in conflict with this Agreement.</w:t>
      </w:r>
    </w:p>
    <w:p>
      <w:pPr>
        <w:spacing w:after="0" w:line="68" w:lineRule="exact"/>
        <w:rPr>
          <w:rFonts w:ascii="Arial" w:cs="Arial" w:eastAsia="Arial" w:hAnsi="Arial"/>
          <w:sz w:val="20"/>
          <w:szCs w:val="20"/>
          <w:b w:val="1"/>
          <w:bCs w:val="1"/>
          <w:color w:val="auto"/>
        </w:rPr>
      </w:pPr>
    </w:p>
    <w:p>
      <w:pPr>
        <w:jc w:val="both"/>
        <w:ind w:firstLine="8"/>
        <w:spacing w:after="0" w:line="259" w:lineRule="auto"/>
        <w:tabs>
          <w:tab w:leader="none" w:pos="342" w:val="left"/>
        </w:tabs>
        <w:numPr>
          <w:ilvl w:val="0"/>
          <w:numId w:val="126"/>
        </w:numPr>
        <w:rPr>
          <w:rFonts w:ascii="Arial" w:cs="Arial" w:eastAsia="Arial" w:hAnsi="Arial"/>
          <w:sz w:val="19"/>
          <w:szCs w:val="19"/>
          <w:b w:val="1"/>
          <w:bCs w:val="1"/>
          <w:color w:val="auto"/>
        </w:rPr>
      </w:pPr>
      <w:r>
        <w:rPr>
          <w:rFonts w:ascii="Arial" w:cs="Arial" w:eastAsia="Arial" w:hAnsi="Arial"/>
          <w:sz w:val="21"/>
          <w:szCs w:val="21"/>
          <w:b w:val="1"/>
          <w:bCs w:val="1"/>
          <w:color w:val="auto"/>
        </w:rPr>
        <w:t>Return of Company Property</w:t>
      </w:r>
      <w:r>
        <w:rPr>
          <w:rFonts w:ascii="Arial" w:cs="Arial" w:eastAsia="Arial" w:hAnsi="Arial"/>
          <w:sz w:val="21"/>
          <w:szCs w:val="21"/>
          <w:color w:val="auto"/>
        </w:rPr>
        <w:t>. When I leave the employ of Company, I will deliver to Employer any and all drawings, notes,</w:t>
      </w:r>
      <w:r>
        <w:rPr>
          <w:rFonts w:ascii="Arial" w:cs="Arial" w:eastAsia="Arial" w:hAnsi="Arial"/>
          <w:sz w:val="21"/>
          <w:szCs w:val="21"/>
          <w:b w:val="1"/>
          <w:bCs w:val="1"/>
          <w:color w:val="auto"/>
        </w:rPr>
        <w:t xml:space="preserve"> </w:t>
      </w:r>
      <w:r>
        <w:rPr>
          <w:rFonts w:ascii="Arial" w:cs="Arial" w:eastAsia="Arial" w:hAnsi="Arial"/>
          <w:sz w:val="21"/>
          <w:szCs w:val="21"/>
          <w:color w:val="auto"/>
        </w:rPr>
        <w:t>memoranda, specifications, devices, formulas and documents, together with all copies thereof, and any other material containing or disclosing any Company Inventions, Third Party Information or Confidential Information.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Company with a computer-useable copy of all such information and then permanently delete and expunge such information from those systems; and I agree to provide Company access to my system as reasonably requested to verify that the necessary copying and/or deletion is completed. I further agree that any property situated on Company’s premises and owned by Company, including disks and other storage media, filing cabinets or other work areas, is subject to inspection by Company’s personnel at any time with or without notice. Prior to leaving, I will cooperate with Company in attending an exit interview and completing and signing Company’s termination statement if required to do so by Company.</w:t>
      </w:r>
    </w:p>
    <w:p>
      <w:pPr>
        <w:spacing w:after="0" w:line="73" w:lineRule="exact"/>
        <w:rPr>
          <w:rFonts w:ascii="Arial" w:cs="Arial" w:eastAsia="Arial" w:hAnsi="Arial"/>
          <w:sz w:val="19"/>
          <w:szCs w:val="19"/>
          <w:b w:val="1"/>
          <w:bCs w:val="1"/>
          <w:color w:val="auto"/>
        </w:rPr>
      </w:pPr>
    </w:p>
    <w:p>
      <w:pPr>
        <w:ind w:left="340" w:hanging="332"/>
        <w:spacing w:after="0"/>
        <w:tabs>
          <w:tab w:leader="none" w:pos="340" w:val="left"/>
        </w:tabs>
        <w:numPr>
          <w:ilvl w:val="0"/>
          <w:numId w:val="126"/>
        </w:numPr>
        <w:rPr>
          <w:rFonts w:ascii="Arial" w:cs="Arial" w:eastAsia="Arial" w:hAnsi="Arial"/>
          <w:sz w:val="20"/>
          <w:szCs w:val="20"/>
          <w:b w:val="1"/>
          <w:bCs w:val="1"/>
          <w:color w:val="auto"/>
        </w:rPr>
      </w:pPr>
      <w:r>
        <w:rPr>
          <w:rFonts w:ascii="Arial" w:cs="Arial" w:eastAsia="Arial" w:hAnsi="Arial"/>
          <w:sz w:val="22"/>
          <w:szCs w:val="22"/>
          <w:b w:val="1"/>
          <w:bCs w:val="1"/>
          <w:color w:val="auto"/>
        </w:rPr>
        <w:t>Legal and Equitable Remedies</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1"/>
          <w:szCs w:val="21"/>
          <w:color w:val="auto"/>
        </w:rPr>
        <w:t>I agree that it may be impossible to assess the damages caused by my violation of this Agreement or any of its terms. I</w:t>
      </w:r>
      <w:r>
        <w:rPr>
          <w:rFonts w:ascii="Arial" w:cs="Arial" w:eastAsia="Arial" w:hAnsi="Arial"/>
          <w:sz w:val="20"/>
          <w:szCs w:val="20"/>
          <w:b w:val="1"/>
          <w:bCs w:val="1"/>
          <w:color w:val="auto"/>
        </w:rPr>
        <w:t xml:space="preserve"> </w:t>
      </w:r>
      <w:r>
        <w:rPr>
          <w:rFonts w:ascii="Arial" w:cs="Arial" w:eastAsia="Arial" w:hAnsi="Arial"/>
          <w:sz w:val="21"/>
          <w:szCs w:val="21"/>
          <w:color w:val="auto"/>
        </w:rPr>
        <w:t>agree that any threatened or actual violation of this Agreement or any of its terms will constitute immediate and irreparable injury to Company, and Company will have the right to enforce this Agreement and any of its provisions by injunction, specific performance or other equitable relief, without bond and without prejudice to any other rights and remedies that Company may have for a breach or threatened breach of this Agreement.</w:t>
      </w:r>
    </w:p>
    <w:p>
      <w:pPr>
        <w:spacing w:after="0" w:line="1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0"/>
          <w:szCs w:val="20"/>
          <w:b w:val="1"/>
          <w:bCs w:val="1"/>
          <w:color w:val="auto"/>
        </w:rPr>
        <w:t xml:space="preserve">9.2 </w:t>
      </w:r>
      <w:r>
        <w:rPr>
          <w:rFonts w:ascii="Arial" w:cs="Arial" w:eastAsia="Arial" w:hAnsi="Arial"/>
          <w:sz w:val="21"/>
          <w:szCs w:val="21"/>
          <w:color w:val="auto"/>
        </w:rPr>
        <w:t>In the event Company enforces this Agreement through a court order, I agree that the restrictions of Section 5 will</w:t>
      </w:r>
      <w:r>
        <w:rPr>
          <w:rFonts w:ascii="Arial" w:cs="Arial" w:eastAsia="Arial" w:hAnsi="Arial"/>
          <w:sz w:val="20"/>
          <w:szCs w:val="20"/>
          <w:b w:val="1"/>
          <w:bCs w:val="1"/>
          <w:color w:val="auto"/>
        </w:rPr>
        <w:t xml:space="preserve"> </w:t>
      </w:r>
      <w:r>
        <w:rPr>
          <w:rFonts w:ascii="Arial" w:cs="Arial" w:eastAsia="Arial" w:hAnsi="Arial"/>
          <w:sz w:val="21"/>
          <w:szCs w:val="21"/>
          <w:color w:val="auto"/>
        </w:rPr>
        <w:t>remain in effect for a period of 12 months from the effective date of the Order enforcing the Agreement.</w:t>
      </w:r>
    </w:p>
    <w:p>
      <w:pPr>
        <w:spacing w:after="0" w:line="131" w:lineRule="exact"/>
        <w:rPr>
          <w:sz w:val="20"/>
          <w:szCs w:val="20"/>
          <w:color w:val="auto"/>
        </w:rPr>
      </w:pPr>
    </w:p>
    <w:p>
      <w:pPr>
        <w:jc w:val="both"/>
        <w:ind w:firstLine="8"/>
        <w:spacing w:after="0" w:line="298" w:lineRule="auto"/>
        <w:tabs>
          <w:tab w:leader="none" w:pos="441" w:val="left"/>
        </w:tabs>
        <w:numPr>
          <w:ilvl w:val="0"/>
          <w:numId w:val="127"/>
        </w:numPr>
        <w:rPr>
          <w:rFonts w:ascii="Arial" w:cs="Arial" w:eastAsia="Arial" w:hAnsi="Arial"/>
          <w:sz w:val="18"/>
          <w:szCs w:val="18"/>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notices required or permitted under this Agreement will be given to Company at its headquarters location at the</w:t>
      </w:r>
      <w:r>
        <w:rPr>
          <w:rFonts w:ascii="Arial" w:cs="Arial" w:eastAsia="Arial" w:hAnsi="Arial"/>
          <w:sz w:val="19"/>
          <w:szCs w:val="19"/>
          <w:b w:val="1"/>
          <w:bCs w:val="1"/>
          <w:color w:val="auto"/>
        </w:rPr>
        <w:t xml:space="preserve"> </w:t>
      </w:r>
      <w:r>
        <w:rPr>
          <w:rFonts w:ascii="Arial" w:cs="Arial" w:eastAsia="Arial" w:hAnsi="Arial"/>
          <w:sz w:val="19"/>
          <w:szCs w:val="19"/>
          <w:color w:val="auto"/>
        </w:rPr>
        <w:t>time notice is given, labeled “Attention Chief Executive Officer,” and to me at my address as listed on Company payroll, or at such other address as Company or I may designate by written notice to the other. Notice will be effective upon receipt or refusal of delivery. If delivered by certified or registered mail, notice will be considered to have been given five business days after it was mailed, as evidenced by the postmark. If delivered by courier or express mail service, notice will be considered to have been given on the delivery date reflected by the courier or express mail service receipt.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75" w:right="239" w:bottom="1440" w:gutter="0" w:footer="0" w:header="0"/>
        </w:sectPr>
      </w:pPr>
    </w:p>
    <w:bookmarkStart w:id="122" w:name="page123"/>
    <w:bookmarkEnd w:id="122"/>
    <w:p>
      <w:pPr>
        <w:ind w:left="420" w:hanging="412"/>
        <w:spacing w:after="0"/>
        <w:tabs>
          <w:tab w:leader="none" w:pos="420" w:val="left"/>
        </w:tabs>
        <w:numPr>
          <w:ilvl w:val="0"/>
          <w:numId w:val="128"/>
        </w:numPr>
        <w:rPr>
          <w:rFonts w:ascii="Arial" w:cs="Arial" w:eastAsia="Arial" w:hAnsi="Arial"/>
          <w:sz w:val="20"/>
          <w:szCs w:val="20"/>
          <w:b w:val="1"/>
          <w:bCs w:val="1"/>
          <w:color w:val="auto"/>
        </w:rPr>
      </w:pPr>
      <w:r>
        <w:rPr>
          <w:rFonts w:ascii="Arial" w:cs="Arial" w:eastAsia="Arial" w:hAnsi="Arial"/>
          <w:sz w:val="22"/>
          <w:szCs w:val="22"/>
          <w:b w:val="1"/>
          <w:bCs w:val="1"/>
          <w:color w:val="auto"/>
        </w:rPr>
        <w:t>Publication of This Agreement to Subsequent Employer or Business Associates of Employee</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20"/>
          <w:szCs w:val="20"/>
          <w:color w:val="auto"/>
        </w:rPr>
        <w:t>If I am offered employment or the opportunity to enter into any business venture as owner, partner, consultant or other</w:t>
      </w:r>
      <w:r>
        <w:rPr>
          <w:rFonts w:ascii="Arial" w:cs="Arial" w:eastAsia="Arial" w:hAnsi="Arial"/>
          <w:sz w:val="19"/>
          <w:szCs w:val="19"/>
          <w:b w:val="1"/>
          <w:bCs w:val="1"/>
          <w:color w:val="auto"/>
        </w:rPr>
        <w:t xml:space="preserve"> </w:t>
      </w:r>
      <w:r>
        <w:rPr>
          <w:rFonts w:ascii="Arial" w:cs="Arial" w:eastAsia="Arial" w:hAnsi="Arial"/>
          <w:sz w:val="20"/>
          <w:szCs w:val="20"/>
          <w:color w:val="auto"/>
        </w:rPr>
        <w:t>capacity while the restrictions described in Sections 4 and 5 of this Agreement are in effect I agree to inform my potential employer, partner, co-owner and/or others involved in managing the business with which I have an opportunity to be associated of my obligations under this Agreement and also agree to provide such person or persons with a copy of this Agreement.</w:t>
      </w:r>
    </w:p>
    <w:p>
      <w:pPr>
        <w:spacing w:after="0" w:line="1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b w:val="1"/>
          <w:bCs w:val="1"/>
          <w:color w:val="auto"/>
        </w:rPr>
        <w:t xml:space="preserve">11.2 </w:t>
      </w:r>
      <w:r>
        <w:rPr>
          <w:rFonts w:ascii="Arial" w:cs="Arial" w:eastAsia="Arial" w:hAnsi="Arial"/>
          <w:sz w:val="21"/>
          <w:szCs w:val="21"/>
          <w:color w:val="auto"/>
        </w:rPr>
        <w:t>I agree to inform Company of all employment and business ventures which I enter into while the restrictions</w:t>
      </w:r>
      <w:r>
        <w:rPr>
          <w:rFonts w:ascii="Arial" w:cs="Arial" w:eastAsia="Arial" w:hAnsi="Arial"/>
          <w:sz w:val="20"/>
          <w:szCs w:val="20"/>
          <w:b w:val="1"/>
          <w:bCs w:val="1"/>
          <w:color w:val="auto"/>
        </w:rPr>
        <w:t xml:space="preserve"> </w:t>
      </w:r>
      <w:r>
        <w:rPr>
          <w:rFonts w:ascii="Arial" w:cs="Arial" w:eastAsia="Arial" w:hAnsi="Arial"/>
          <w:sz w:val="21"/>
          <w:szCs w:val="21"/>
          <w:color w:val="auto"/>
        </w:rPr>
        <w:t>described in Section 5 of this Agreement are in effect and I also authorize Company to provide copies of this Agreement to my employer, partner, co-owner and/or others involved in managing the business with which I am employed or associated and to make such persons aware of my obligations under this Agreement.</w:t>
      </w:r>
    </w:p>
    <w:p>
      <w:pPr>
        <w:spacing w:after="0" w:line="163" w:lineRule="exact"/>
        <w:rPr>
          <w:sz w:val="20"/>
          <w:szCs w:val="20"/>
          <w:color w:val="auto"/>
        </w:rPr>
      </w:pPr>
    </w:p>
    <w:p>
      <w:pPr>
        <w:ind w:left="440" w:hanging="432"/>
        <w:spacing w:after="0"/>
        <w:tabs>
          <w:tab w:leader="none" w:pos="440" w:val="left"/>
        </w:tabs>
        <w:numPr>
          <w:ilvl w:val="0"/>
          <w:numId w:val="129"/>
        </w:numPr>
        <w:rPr>
          <w:rFonts w:ascii="Arial" w:cs="Arial" w:eastAsia="Arial" w:hAnsi="Arial"/>
          <w:sz w:val="20"/>
          <w:szCs w:val="20"/>
          <w:b w:val="1"/>
          <w:bCs w:val="1"/>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12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20"/>
          <w:szCs w:val="20"/>
          <w:b w:val="1"/>
          <w:bCs w:val="1"/>
          <w:color w:val="auto"/>
        </w:rPr>
        <w:t>Governing Law; Consent to Personal Jurisdiction</w:t>
      </w:r>
      <w:r>
        <w:rPr>
          <w:rFonts w:ascii="Arial" w:cs="Arial" w:eastAsia="Arial" w:hAnsi="Arial"/>
          <w:sz w:val="20"/>
          <w:szCs w:val="20"/>
          <w:color w:val="auto"/>
        </w:rPr>
        <w:t>. This Agreement will be governed by and construed according to</w:t>
      </w:r>
      <w:r>
        <w:rPr>
          <w:rFonts w:ascii="Arial" w:cs="Arial" w:eastAsia="Arial" w:hAnsi="Arial"/>
          <w:sz w:val="19"/>
          <w:szCs w:val="19"/>
          <w:b w:val="1"/>
          <w:bCs w:val="1"/>
          <w:color w:val="auto"/>
        </w:rPr>
        <w:t xml:space="preserve"> </w:t>
      </w:r>
      <w:r>
        <w:rPr>
          <w:rFonts w:ascii="Arial" w:cs="Arial" w:eastAsia="Arial" w:hAnsi="Arial"/>
          <w:sz w:val="20"/>
          <w:szCs w:val="20"/>
          <w:color w:val="auto"/>
        </w:rPr>
        <w:t>the laws of the State of California without regard to any conflict of laws principles that would require the application of the laws of a different jurisdiction. I hereby expressly consent to the personal jurisdiction and venue of the state and federal courts located in California for any lawsuit filed there against me by Company arising from or related to this Agreement.</w:t>
      </w:r>
    </w:p>
    <w:p>
      <w:pPr>
        <w:spacing w:after="0" w:line="3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9"/>
          <w:szCs w:val="19"/>
          <w:b w:val="1"/>
          <w:bCs w:val="1"/>
          <w:color w:val="auto"/>
        </w:rPr>
        <w:t>Severability</w:t>
      </w:r>
      <w:r>
        <w:rPr>
          <w:rFonts w:ascii="Arial" w:cs="Arial" w:eastAsia="Arial" w:hAnsi="Arial"/>
          <w:sz w:val="19"/>
          <w:szCs w:val="19"/>
          <w:color w:val="auto"/>
        </w:rPr>
        <w:t>. In case any one or more of the provisions, subsections, or sentences contained in this Agreement will,</w:t>
      </w:r>
      <w:r>
        <w:rPr>
          <w:rFonts w:ascii="Arial" w:cs="Arial" w:eastAsia="Arial" w:hAnsi="Arial"/>
          <w:sz w:val="18"/>
          <w:szCs w:val="18"/>
          <w:b w:val="1"/>
          <w:bCs w:val="1"/>
          <w:color w:val="auto"/>
        </w:rPr>
        <w:t xml:space="preserve"> </w:t>
      </w:r>
      <w:r>
        <w:rPr>
          <w:rFonts w:ascii="Arial" w:cs="Arial" w:eastAsia="Arial" w:hAnsi="Arial"/>
          <w:sz w:val="19"/>
          <w:szCs w:val="19"/>
          <w:color w:val="auto"/>
        </w:rPr>
        <w:t>for any reason, be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moreover, any one or more of the provisions contained in this Agreement will for any reason be held to be excessively broad as to duration, geographical scope, activity or subject, it will be construed by limiting and reducing it, so as to be enforceable to the extent compatible with the applicable law as it will then appear.</w:t>
      </w:r>
    </w:p>
    <w:p>
      <w:pPr>
        <w:spacing w:after="0" w:line="141"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1"/>
          <w:szCs w:val="21"/>
          <w:b w:val="1"/>
          <w:bCs w:val="1"/>
          <w:color w:val="auto"/>
        </w:rPr>
        <w:t>Successors and Assigns</w:t>
      </w:r>
      <w:r>
        <w:rPr>
          <w:rFonts w:ascii="Arial" w:cs="Arial" w:eastAsia="Arial" w:hAnsi="Arial"/>
          <w:sz w:val="21"/>
          <w:szCs w:val="21"/>
          <w:color w:val="auto"/>
        </w:rPr>
        <w:t>. This Agreement is for my benefit and the benefit of Company and its and their successors,</w:t>
      </w:r>
      <w:r>
        <w:rPr>
          <w:rFonts w:ascii="Arial" w:cs="Arial" w:eastAsia="Arial" w:hAnsi="Arial"/>
          <w:sz w:val="20"/>
          <w:szCs w:val="20"/>
          <w:b w:val="1"/>
          <w:bCs w:val="1"/>
          <w:color w:val="auto"/>
        </w:rPr>
        <w:t xml:space="preserve"> </w:t>
      </w:r>
      <w:r>
        <w:rPr>
          <w:rFonts w:ascii="Arial" w:cs="Arial" w:eastAsia="Arial" w:hAnsi="Arial"/>
          <w:sz w:val="21"/>
          <w:szCs w:val="21"/>
          <w:color w:val="auto"/>
        </w:rPr>
        <w:t>assigns, parent corporations, subsidiaries, affiliates, and purchasers, and will be binding upon my heirs, executors, administrators and other legal representatives.</w:t>
      </w:r>
    </w:p>
    <w:p>
      <w:pPr>
        <w:spacing w:after="0" w:line="43"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1"/>
          <w:szCs w:val="21"/>
          <w:b w:val="1"/>
          <w:bCs w:val="1"/>
          <w:color w:val="auto"/>
        </w:rPr>
        <w:t>Survival</w:t>
      </w:r>
      <w:r>
        <w:rPr>
          <w:rFonts w:ascii="Arial" w:cs="Arial" w:eastAsia="Arial" w:hAnsi="Arial"/>
          <w:sz w:val="21"/>
          <w:szCs w:val="21"/>
          <w:color w:val="auto"/>
        </w:rPr>
        <w:t>. This Agreement will survive the termination of my employment, regardless of the reason, and the assignment</w:t>
      </w:r>
      <w:r>
        <w:rPr>
          <w:rFonts w:ascii="Arial" w:cs="Arial" w:eastAsia="Arial" w:hAnsi="Arial"/>
          <w:sz w:val="20"/>
          <w:szCs w:val="20"/>
          <w:b w:val="1"/>
          <w:bCs w:val="1"/>
          <w:color w:val="auto"/>
        </w:rPr>
        <w:t xml:space="preserve"> </w:t>
      </w:r>
      <w:r>
        <w:rPr>
          <w:rFonts w:ascii="Arial" w:cs="Arial" w:eastAsia="Arial" w:hAnsi="Arial"/>
          <w:sz w:val="21"/>
          <w:szCs w:val="21"/>
          <w:color w:val="auto"/>
        </w:rPr>
        <w:t>of this Agreement by Company to any successor in interest or other assignee.</w:t>
      </w:r>
    </w:p>
    <w:p>
      <w:pPr>
        <w:spacing w:after="0" w:line="1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12.4 </w:t>
      </w:r>
      <w:r>
        <w:rPr>
          <w:rFonts w:ascii="Arial" w:cs="Arial" w:eastAsia="Arial" w:hAnsi="Arial"/>
          <w:sz w:val="21"/>
          <w:szCs w:val="21"/>
          <w:b w:val="1"/>
          <w:bCs w:val="1"/>
          <w:color w:val="auto"/>
        </w:rPr>
        <w:t>Employment At-Will</w:t>
      </w:r>
      <w:r>
        <w:rPr>
          <w:rFonts w:ascii="Arial" w:cs="Arial" w:eastAsia="Arial" w:hAnsi="Arial"/>
          <w:sz w:val="21"/>
          <w:szCs w:val="21"/>
          <w:color w:val="auto"/>
        </w:rPr>
        <w:t>. I agree and understand that nothing in this Agreement will change my at-will employment status</w:t>
      </w:r>
      <w:r>
        <w:rPr>
          <w:rFonts w:ascii="Arial" w:cs="Arial" w:eastAsia="Arial" w:hAnsi="Arial"/>
          <w:sz w:val="20"/>
          <w:szCs w:val="20"/>
          <w:b w:val="1"/>
          <w:bCs w:val="1"/>
          <w:color w:val="auto"/>
        </w:rPr>
        <w:t xml:space="preserve"> </w:t>
      </w:r>
      <w:r>
        <w:rPr>
          <w:rFonts w:ascii="Arial" w:cs="Arial" w:eastAsia="Arial" w:hAnsi="Arial"/>
          <w:sz w:val="21"/>
          <w:szCs w:val="21"/>
          <w:color w:val="auto"/>
        </w:rPr>
        <w:t>or confer any right with respect to continuation of employment by Company, nor will it interfere in any way with my right or Company’s right to terminate my employment at any time, with or without cause or advance notice.</w:t>
      </w:r>
    </w:p>
    <w:p>
      <w:pPr>
        <w:spacing w:after="0" w:line="43"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12.5 </w:t>
      </w:r>
      <w:r>
        <w:rPr>
          <w:rFonts w:ascii="Arial" w:cs="Arial" w:eastAsia="Arial" w:hAnsi="Arial"/>
          <w:sz w:val="21"/>
          <w:szCs w:val="21"/>
          <w:b w:val="1"/>
          <w:bCs w:val="1"/>
          <w:color w:val="auto"/>
        </w:rPr>
        <w:t>Waiver</w:t>
      </w:r>
      <w:r>
        <w:rPr>
          <w:rFonts w:ascii="Arial" w:cs="Arial" w:eastAsia="Arial" w:hAnsi="Arial"/>
          <w:sz w:val="21"/>
          <w:szCs w:val="21"/>
          <w:color w:val="auto"/>
        </w:rPr>
        <w:t>. No waiver by Company of any breach of this Agreement will be a waiver of any preceding or succeeding</w:t>
      </w:r>
      <w:r>
        <w:rPr>
          <w:rFonts w:ascii="Arial" w:cs="Arial" w:eastAsia="Arial" w:hAnsi="Arial"/>
          <w:sz w:val="20"/>
          <w:szCs w:val="20"/>
          <w:b w:val="1"/>
          <w:bCs w:val="1"/>
          <w:color w:val="auto"/>
        </w:rPr>
        <w:t xml:space="preserve"> </w:t>
      </w:r>
      <w:r>
        <w:rPr>
          <w:rFonts w:ascii="Arial" w:cs="Arial" w:eastAsia="Arial" w:hAnsi="Arial"/>
          <w:sz w:val="21"/>
          <w:szCs w:val="21"/>
          <w:color w:val="auto"/>
        </w:rPr>
        <w:t>breach. No waiver by Company of any right under this Agreement will be construed as a waiver of any other right. Company will not be required to give notice to enforce strict adherence to all terms of this Agreement.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9" w:right="239" w:bottom="1440" w:gutter="0" w:footer="0" w:header="0"/>
        </w:sectPr>
      </w:pPr>
    </w:p>
    <w:bookmarkStart w:id="123" w:name="page124"/>
    <w:bookmarkEnd w:id="123"/>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12.6 </w:t>
      </w:r>
      <w:r>
        <w:rPr>
          <w:rFonts w:ascii="Arial" w:cs="Arial" w:eastAsia="Arial" w:hAnsi="Arial"/>
          <w:sz w:val="21"/>
          <w:szCs w:val="21"/>
          <w:b w:val="1"/>
          <w:bCs w:val="1"/>
          <w:color w:val="auto"/>
        </w:rPr>
        <w:t>Export</w:t>
      </w:r>
      <w:r>
        <w:rPr>
          <w:rFonts w:ascii="Arial" w:cs="Arial" w:eastAsia="Arial" w:hAnsi="Arial"/>
          <w:sz w:val="21"/>
          <w:szCs w:val="21"/>
          <w:color w:val="auto"/>
        </w:rPr>
        <w:t>. I agree not to export, reexport, or transfer, directly or indirectly, any U.S. technical data acquired from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or any products utilizing such data, in violation of the United States export laws or regulations.</w:t>
      </w:r>
    </w:p>
    <w:p>
      <w:pPr>
        <w:spacing w:after="0" w:line="17"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12.7 </w:t>
      </w: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executed in two or more counterparts, each of which will be deemed an original,</w:t>
      </w:r>
      <w:r>
        <w:rPr>
          <w:rFonts w:ascii="Arial" w:cs="Arial" w:eastAsia="Arial" w:hAnsi="Arial"/>
          <w:sz w:val="20"/>
          <w:szCs w:val="20"/>
          <w:b w:val="1"/>
          <w:bCs w:val="1"/>
          <w:color w:val="auto"/>
        </w:rPr>
        <w:t xml:space="preserve"> </w:t>
      </w:r>
      <w:r>
        <w:rPr>
          <w:rFonts w:ascii="Arial" w:cs="Arial" w:eastAsia="Arial" w:hAnsi="Arial"/>
          <w:sz w:val="21"/>
          <w:szCs w:val="21"/>
          <w:color w:val="auto"/>
        </w:rPr>
        <w:t>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20"/>
          <w:szCs w:val="20"/>
          <w:b w:val="1"/>
          <w:bCs w:val="1"/>
          <w:color w:val="auto"/>
        </w:rPr>
        <w:t>12.8</w:t>
      </w:r>
      <w:r>
        <w:rPr>
          <w:rFonts w:ascii="Arial" w:cs="Arial" w:eastAsia="Arial" w:hAnsi="Arial"/>
          <w:sz w:val="21"/>
          <w:szCs w:val="21"/>
          <w:b w:val="1"/>
          <w:bCs w:val="1"/>
          <w:color w:val="auto"/>
        </w:rPr>
        <w:t>Advice of Counsel. I ACKNOWLEDGE THAT, IN EXECUTING THIS AGREEMENT, I HAVE HAD THE</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OPPORTUNITY TO SEEK THE ADVICE OF INDEPENDENT LEGAL COUNSEL, AND I HAVE READ AND UNDERSTOOD ALL OF THE TERMS AND PROVISIONS OF THIS AGREEMENT. THIS AGREEMENT WILL NOT BE CONSTRUED AGAINST ANY PARTY BY REASON OF THE DRAFTING OR PREPARATION OF THIS AGREEMENT.</w:t>
      </w:r>
    </w:p>
    <w:p>
      <w:pPr>
        <w:spacing w:after="0" w:line="200" w:lineRule="exact"/>
        <w:rPr>
          <w:sz w:val="20"/>
          <w:szCs w:val="20"/>
          <w:color w:val="auto"/>
        </w:rPr>
      </w:pPr>
    </w:p>
    <w:p>
      <w:pPr>
        <w:spacing w:after="0" w:line="230"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20"/>
          <w:szCs w:val="20"/>
          <w:b w:val="1"/>
          <w:bCs w:val="1"/>
          <w:color w:val="auto"/>
        </w:rPr>
        <w:t xml:space="preserve">12.9 </w:t>
      </w:r>
      <w:r>
        <w:rPr>
          <w:rFonts w:ascii="Arial" w:cs="Arial" w:eastAsia="Arial" w:hAnsi="Arial"/>
          <w:sz w:val="21"/>
          <w:szCs w:val="21"/>
          <w:b w:val="1"/>
          <w:bCs w:val="1"/>
          <w:color w:val="auto"/>
        </w:rPr>
        <w:t>Entire Agreement</w:t>
      </w:r>
      <w:r>
        <w:rPr>
          <w:rFonts w:ascii="Arial" w:cs="Arial" w:eastAsia="Arial" w:hAnsi="Arial"/>
          <w:sz w:val="21"/>
          <w:szCs w:val="21"/>
          <w:color w:val="auto"/>
        </w:rPr>
        <w:t>. The obligations pursuant to Sections 1 and 2 (except Subsection 2.4 and Subsection 2.7(a)) of this</w:t>
      </w:r>
      <w:r>
        <w:rPr>
          <w:rFonts w:ascii="Arial" w:cs="Arial" w:eastAsia="Arial" w:hAnsi="Arial"/>
          <w:sz w:val="20"/>
          <w:szCs w:val="20"/>
          <w:b w:val="1"/>
          <w:bCs w:val="1"/>
          <w:color w:val="auto"/>
        </w:rPr>
        <w:t xml:space="preserve"> </w:t>
      </w:r>
      <w:r>
        <w:rPr>
          <w:rFonts w:ascii="Arial" w:cs="Arial" w:eastAsia="Arial" w:hAnsi="Arial"/>
          <w:sz w:val="21"/>
          <w:szCs w:val="21"/>
          <w:color w:val="auto"/>
        </w:rPr>
        <w:t>Agreement will apply to any time during which I was previously engaged, or am in the future engaged, by Company as a consultant if no other agreement governs nondisclosure and assignment of inventions during such period. This Agreement is the final, complete and exclusive agreement of the parties with respect to the subject matter of this Agreement and supersedes and merges all prior discussions between us. No modification of or amendment to this Agreement will be effective unless in writing and signed by the party to be charged. Any subsequent change or changes in my duties, salary or compensation will not affect the validity or scope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[signatures to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Agreement will be effective as of </w:t>
      </w:r>
      <w:r>
        <w:rPr>
          <w:rFonts w:ascii="Arial" w:cs="Arial" w:eastAsia="Arial" w:hAnsi="Arial"/>
          <w:sz w:val="22"/>
          <w:szCs w:val="22"/>
          <w:b w:val="1"/>
          <w:bCs w:val="1"/>
          <w:color w:val="auto"/>
        </w:rPr>
        <w:t>April 17, 2019</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w:t>
      </w:r>
    </w:p>
    <w:p>
      <w:pPr>
        <w:spacing w:after="0" w:line="346" w:lineRule="exact"/>
        <w:rPr>
          <w:sz w:val="20"/>
          <w:szCs w:val="20"/>
          <w:color w:val="auto"/>
        </w:rPr>
      </w:pPr>
    </w:p>
    <w:p>
      <w:pPr>
        <w:ind w:left="120" w:right="2280"/>
        <w:spacing w:after="0" w:line="267" w:lineRule="auto"/>
        <w:rPr>
          <w:sz w:val="20"/>
          <w:szCs w:val="20"/>
          <w:color w:val="auto"/>
        </w:rPr>
      </w:pPr>
      <w:r>
        <w:rPr>
          <w:rFonts w:ascii="Arial" w:cs="Arial" w:eastAsia="Arial" w:hAnsi="Arial"/>
          <w:sz w:val="20"/>
          <w:szCs w:val="20"/>
          <w:b w:val="1"/>
          <w:bCs w:val="1"/>
          <w:color w:val="auto"/>
        </w:rPr>
        <w:t>I have read this agreement carefully and understand its terms. I have completely filled out Exhibit A to this Agreement.</w:t>
      </w: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 Holly R.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jc w:val="center"/>
        <w:ind w:right="2060"/>
        <w:spacing w:after="0"/>
        <w:rPr>
          <w:sz w:val="20"/>
          <w:szCs w:val="20"/>
          <w:color w:val="auto"/>
        </w:rPr>
      </w:pPr>
      <w:r>
        <w:rPr>
          <w:rFonts w:ascii="Arial" w:cs="Arial" w:eastAsia="Arial" w:hAnsi="Arial"/>
          <w:sz w:val="22"/>
          <w:szCs w:val="22"/>
          <w:color w:val="auto"/>
        </w:rPr>
        <w:t>Holly R.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jc w:val="center"/>
        <w:ind w:right="2060"/>
        <w:spacing w:after="0"/>
        <w:rPr>
          <w:sz w:val="20"/>
          <w:szCs w:val="20"/>
          <w:color w:val="auto"/>
        </w:rPr>
      </w:pPr>
      <w:r>
        <w:rPr>
          <w:rFonts w:ascii="Arial" w:cs="Arial" w:eastAsia="Arial" w:hAnsi="Arial"/>
          <w:sz w:val="22"/>
          <w:szCs w:val="22"/>
          <w:color w:val="auto"/>
        </w:rPr>
        <w:t>Name</w:t>
      </w:r>
    </w:p>
    <w:p>
      <w:pPr>
        <w:spacing w:after="0" w:line="341" w:lineRule="exact"/>
        <w:rPr>
          <w:sz w:val="20"/>
          <w:szCs w:val="20"/>
          <w:color w:val="auto"/>
        </w:rPr>
      </w:pPr>
    </w:p>
    <w:p>
      <w:pPr>
        <w:jc w:val="center"/>
        <w:ind w:right="2080"/>
        <w:spacing w:after="0"/>
        <w:rPr>
          <w:sz w:val="20"/>
          <w:szCs w:val="20"/>
          <w:color w:val="auto"/>
        </w:rPr>
      </w:pPr>
      <w:r>
        <w:rPr>
          <w:rFonts w:ascii="Arial" w:cs="Arial" w:eastAsia="Arial" w:hAnsi="Arial"/>
          <w:sz w:val="22"/>
          <w:szCs w:val="22"/>
          <w:color w:val="auto"/>
        </w:rPr>
        <w:t>April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jc w:val="center"/>
        <w:ind w:right="20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401955</wp:posOffset>
            </wp:positionV>
            <wp:extent cx="58318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Email: hsheffield@cooperco.com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Address:______________________________________</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EMPLOYER:</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Accepted and agreed</w:t>
      </w:r>
    </w:p>
    <w:p>
      <w:pPr>
        <w:sectPr>
          <w:pgSz w:w="11900" w:h="16838" w:orient="portrait"/>
          <w:cols w:equalWidth="0" w:num="1">
            <w:col w:w="11420"/>
          </w:cols>
          <w:pgMar w:left="240" w:top="368" w:right="239" w:bottom="486" w:gutter="0" w:footer="0" w:header="0"/>
        </w:sectPr>
      </w:pPr>
    </w:p>
    <w:bookmarkStart w:id="124" w:name="page125"/>
    <w:bookmarkEnd w:id="124"/>
    <w:p>
      <w:pPr>
        <w:ind w:left="120"/>
        <w:spacing w:after="0"/>
        <w:rPr>
          <w:sz w:val="20"/>
          <w:szCs w:val="20"/>
          <w:color w:val="auto"/>
        </w:rPr>
      </w:pPr>
      <w:r>
        <w:rPr>
          <w:rFonts w:ascii="Arial" w:cs="Arial" w:eastAsia="Arial" w:hAnsi="Arial"/>
          <w:sz w:val="22"/>
          <w:szCs w:val="22"/>
          <w:b w:val="1"/>
          <w:bCs w:val="1"/>
          <w:color w:val="auto"/>
        </w:rPr>
        <w:t>The Cooper Companies, Inc.</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200" w:type="dxa"/>
            <w:vAlign w:val="bottom"/>
          </w:tcPr>
          <w:p>
            <w:pPr>
              <w:ind w:left="120"/>
              <w:spacing w:after="0"/>
              <w:rPr>
                <w:sz w:val="20"/>
                <w:szCs w:val="20"/>
                <w:color w:val="auto"/>
              </w:rPr>
            </w:pPr>
            <w:r>
              <w:rPr>
                <w:rFonts w:ascii="Arial" w:cs="Arial" w:eastAsia="Arial" w:hAnsi="Arial"/>
                <w:sz w:val="22"/>
                <w:szCs w:val="22"/>
                <w:color w:val="auto"/>
              </w:rPr>
              <w:t>By:</w:t>
            </w:r>
          </w:p>
        </w:tc>
        <w:tc>
          <w:tcPr>
            <w:tcW w:w="7380" w:type="dxa"/>
            <w:vAlign w:val="bottom"/>
            <w:tcBorders>
              <w:bottom w:val="single" w:sz="8" w:color="auto"/>
            </w:tcBorders>
            <w:gridSpan w:val="4"/>
          </w:tcPr>
          <w:p>
            <w:pPr>
              <w:ind w:left="20"/>
              <w:spacing w:after="0"/>
              <w:rPr>
                <w:sz w:val="20"/>
                <w:szCs w:val="20"/>
                <w:color w:val="auto"/>
              </w:rPr>
            </w:pPr>
            <w:r>
              <w:rPr>
                <w:rFonts w:ascii="Arial" w:cs="Arial" w:eastAsia="Arial" w:hAnsi="Arial"/>
                <w:sz w:val="22"/>
                <w:szCs w:val="22"/>
                <w:color w:val="auto"/>
              </w:rPr>
              <w:t>/s Randal L. Golden</w:t>
            </w:r>
          </w:p>
        </w:tc>
        <w:tc>
          <w:tcPr>
            <w:tcW w:w="0" w:type="dxa"/>
            <w:vAlign w:val="bottom"/>
          </w:tcPr>
          <w:p>
            <w:pPr>
              <w:spacing w:after="0"/>
              <w:rPr>
                <w:sz w:val="1"/>
                <w:szCs w:val="1"/>
                <w:color w:val="auto"/>
              </w:rPr>
            </w:pPr>
          </w:p>
        </w:tc>
      </w:tr>
      <w:tr>
        <w:trPr>
          <w:trHeight w:val="577"/>
        </w:trPr>
        <w:tc>
          <w:tcPr>
            <w:tcW w:w="12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22"/>
                <w:szCs w:val="22"/>
                <w:color w:val="auto"/>
              </w:rPr>
              <w:t>Name:</w:t>
            </w:r>
          </w:p>
        </w:tc>
        <w:tc>
          <w:tcPr>
            <w:tcW w:w="6560" w:type="dxa"/>
            <w:vAlign w:val="bottom"/>
            <w:gridSpan w:val="2"/>
          </w:tcPr>
          <w:p>
            <w:pPr>
              <w:ind w:left="240"/>
              <w:spacing w:after="0"/>
              <w:rPr>
                <w:sz w:val="20"/>
                <w:szCs w:val="20"/>
                <w:color w:val="auto"/>
              </w:rPr>
            </w:pPr>
            <w:r>
              <w:rPr>
                <w:rFonts w:ascii="Arial" w:cs="Arial" w:eastAsia="Arial" w:hAnsi="Arial"/>
                <w:sz w:val="22"/>
                <w:szCs w:val="22"/>
                <w:color w:val="auto"/>
              </w:rPr>
              <w:t>Randal L. Golden</w:t>
            </w: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22"/>
                <w:szCs w:val="22"/>
                <w:color w:val="auto"/>
              </w:rPr>
              <w:t>Title:</w:t>
            </w:r>
          </w:p>
        </w:tc>
        <w:tc>
          <w:tcPr>
            <w:tcW w:w="6560" w:type="dxa"/>
            <w:vAlign w:val="bottom"/>
            <w:gridSpan w:val="2"/>
          </w:tcPr>
          <w:p>
            <w:pPr>
              <w:ind w:left="240"/>
              <w:spacing w:after="0"/>
              <w:rPr>
                <w:sz w:val="20"/>
                <w:szCs w:val="20"/>
                <w:color w:val="auto"/>
              </w:rPr>
            </w:pPr>
            <w:r>
              <w:rPr>
                <w:rFonts w:ascii="Arial" w:cs="Arial" w:eastAsia="Arial" w:hAnsi="Arial"/>
                <w:sz w:val="22"/>
                <w:szCs w:val="22"/>
                <w:color w:val="auto"/>
              </w:rPr>
              <w:t>Vice President, General Counsel, &amp; Secretary</w:t>
            </w:r>
          </w:p>
        </w:tc>
        <w:tc>
          <w:tcPr>
            <w:tcW w:w="0" w:type="dxa"/>
            <w:vAlign w:val="bottom"/>
          </w:tcPr>
          <w:p>
            <w:pPr>
              <w:spacing w:after="0"/>
              <w:rPr>
                <w:sz w:val="1"/>
                <w:szCs w:val="1"/>
                <w:color w:val="auto"/>
              </w:rPr>
            </w:pPr>
          </w:p>
        </w:tc>
      </w:tr>
      <w:tr>
        <w:trPr>
          <w:trHeight w:val="605"/>
        </w:trPr>
        <w:tc>
          <w:tcPr>
            <w:tcW w:w="1200" w:type="dxa"/>
            <w:vAlign w:val="bottom"/>
          </w:tcPr>
          <w:p>
            <w:pPr>
              <w:ind w:left="120"/>
              <w:spacing w:after="0"/>
              <w:rPr>
                <w:sz w:val="20"/>
                <w:szCs w:val="20"/>
                <w:color w:val="auto"/>
              </w:rPr>
            </w:pPr>
            <w:r>
              <w:rPr>
                <w:rFonts w:ascii="Arial" w:cs="Arial" w:eastAsia="Arial" w:hAnsi="Arial"/>
                <w:sz w:val="22"/>
                <w:szCs w:val="22"/>
                <w:color w:val="auto"/>
              </w:rPr>
              <w:t>Email:</w:t>
            </w:r>
          </w:p>
        </w:tc>
        <w:tc>
          <w:tcPr>
            <w:tcW w:w="7380" w:type="dxa"/>
            <w:vAlign w:val="bottom"/>
            <w:tcBorders>
              <w:bottom w:val="single" w:sz="8" w:color="auto"/>
            </w:tcBorders>
            <w:gridSpan w:val="4"/>
          </w:tcPr>
          <w:p>
            <w:pPr>
              <w:ind w:left="20"/>
              <w:spacing w:after="0"/>
              <w:rPr>
                <w:sz w:val="20"/>
                <w:szCs w:val="20"/>
                <w:color w:val="auto"/>
              </w:rPr>
            </w:pPr>
            <w:r>
              <w:rPr>
                <w:rFonts w:ascii="Arial" w:cs="Arial" w:eastAsia="Arial" w:hAnsi="Arial"/>
                <w:sz w:val="22"/>
                <w:szCs w:val="22"/>
                <w:color w:val="auto"/>
              </w:rPr>
              <w:t>rgolden@cooperco.com</w:t>
            </w:r>
          </w:p>
        </w:tc>
        <w:tc>
          <w:tcPr>
            <w:tcW w:w="0" w:type="dxa"/>
            <w:vAlign w:val="bottom"/>
          </w:tcPr>
          <w:p>
            <w:pPr>
              <w:spacing w:after="0"/>
              <w:rPr>
                <w:sz w:val="1"/>
                <w:szCs w:val="1"/>
                <w:color w:val="auto"/>
              </w:rPr>
            </w:pPr>
          </w:p>
        </w:tc>
      </w:tr>
      <w:tr>
        <w:trPr>
          <w:trHeight w:val="721"/>
        </w:trPr>
        <w:tc>
          <w:tcPr>
            <w:tcW w:w="8580" w:type="dxa"/>
            <w:vAlign w:val="bottom"/>
            <w:gridSpan w:val="5"/>
          </w:tcPr>
          <w:p>
            <w:pPr>
              <w:spacing w:after="0"/>
              <w:rPr>
                <w:sz w:val="20"/>
                <w:szCs w:val="20"/>
                <w:color w:val="auto"/>
              </w:rPr>
            </w:pPr>
            <w:r>
              <w:rPr>
                <w:rFonts w:ascii="Arial" w:cs="Arial" w:eastAsia="Arial" w:hAnsi="Arial"/>
                <w:sz w:val="22"/>
                <w:szCs w:val="22"/>
                <w:color w:val="auto"/>
              </w:rPr>
              <w:t>Address:  6140 Stoneridge Mall Road, Suite 590</w:t>
            </w: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3"/>
                <w:szCs w:val="23"/>
                <w:color w:val="auto"/>
              </w:rPr>
            </w:pPr>
          </w:p>
        </w:tc>
        <w:tc>
          <w:tcPr>
            <w:tcW w:w="7380" w:type="dxa"/>
            <w:vAlign w:val="bottom"/>
            <w:gridSpan w:val="4"/>
          </w:tcPr>
          <w:p>
            <w:pPr>
              <w:ind w:left="100"/>
              <w:spacing w:after="0"/>
              <w:rPr>
                <w:sz w:val="20"/>
                <w:szCs w:val="20"/>
                <w:color w:val="auto"/>
              </w:rPr>
            </w:pPr>
            <w:r>
              <w:rPr>
                <w:rFonts w:ascii="Arial" w:cs="Arial" w:eastAsia="Arial" w:hAnsi="Arial"/>
                <w:sz w:val="22"/>
                <w:szCs w:val="22"/>
                <w:color w:val="auto"/>
              </w:rPr>
              <w:t>Pleasanton, California 94588</w:t>
            </w:r>
          </w:p>
        </w:tc>
        <w:tc>
          <w:tcPr>
            <w:tcW w:w="0" w:type="dxa"/>
            <w:vAlign w:val="bottom"/>
          </w:tcPr>
          <w:p>
            <w:pPr>
              <w:spacing w:after="0"/>
              <w:rPr>
                <w:sz w:val="1"/>
                <w:szCs w:val="1"/>
                <w:color w:val="auto"/>
              </w:rPr>
            </w:pPr>
          </w:p>
        </w:tc>
      </w:tr>
      <w:tr>
        <w:trPr>
          <w:trHeight w:val="486"/>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
          </w:tcPr>
          <w:p>
            <w:pPr>
              <w:jc w:val="center"/>
              <w:ind w:left="712"/>
              <w:spacing w:after="0"/>
              <w:rPr>
                <w:sz w:val="20"/>
                <w:szCs w:val="20"/>
                <w:color w:val="auto"/>
              </w:rPr>
            </w:pPr>
            <w:r>
              <w:rPr>
                <w:rFonts w:ascii="Arial" w:cs="Arial" w:eastAsia="Arial" w:hAnsi="Arial"/>
                <w:sz w:val="22"/>
                <w:szCs w:val="22"/>
                <w:b w:val="1"/>
                <w:bCs w:val="1"/>
                <w:color w:val="auto"/>
              </w:rPr>
              <w:t>EXHIBIT A</w:t>
            </w:r>
          </w:p>
        </w:tc>
        <w:tc>
          <w:tcPr>
            <w:tcW w:w="0" w:type="dxa"/>
            <w:vAlign w:val="bottom"/>
          </w:tcPr>
          <w:p>
            <w:pPr>
              <w:spacing w:after="0"/>
              <w:rPr>
                <w:sz w:val="1"/>
                <w:szCs w:val="1"/>
                <w:color w:val="auto"/>
              </w:rPr>
            </w:pPr>
          </w:p>
        </w:tc>
      </w:tr>
      <w:tr>
        <w:trPr>
          <w:trHeight w:val="473"/>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
          </w:tcPr>
          <w:p>
            <w:pPr>
              <w:jc w:val="center"/>
              <w:ind w:left="732"/>
              <w:spacing w:after="0"/>
              <w:rPr>
                <w:sz w:val="20"/>
                <w:szCs w:val="20"/>
                <w:color w:val="auto"/>
              </w:rPr>
            </w:pPr>
            <w:r>
              <w:rPr>
                <w:rFonts w:ascii="Arial" w:cs="Arial" w:eastAsia="Arial" w:hAnsi="Arial"/>
                <w:sz w:val="22"/>
                <w:szCs w:val="22"/>
                <w:b w:val="1"/>
                <w:bCs w:val="1"/>
                <w:color w:val="auto"/>
              </w:rPr>
              <w:t>PRIOR INVENTIONS</w:t>
            </w:r>
          </w:p>
        </w:tc>
        <w:tc>
          <w:tcPr>
            <w:tcW w:w="0" w:type="dxa"/>
            <w:vAlign w:val="bottom"/>
          </w:tcPr>
          <w:p>
            <w:pPr>
              <w:spacing w:after="0"/>
              <w:rPr>
                <w:sz w:val="1"/>
                <w:szCs w:val="1"/>
                <w:color w:val="auto"/>
              </w:rPr>
            </w:pPr>
          </w:p>
        </w:tc>
      </w:tr>
      <w:tr>
        <w:trPr>
          <w:trHeight w:val="710"/>
        </w:trPr>
        <w:tc>
          <w:tcPr>
            <w:tcW w:w="1200" w:type="dxa"/>
            <w:vAlign w:val="bottom"/>
          </w:tcPr>
          <w:p>
            <w:pPr>
              <w:ind w:left="120"/>
              <w:spacing w:after="0"/>
              <w:rPr>
                <w:sz w:val="20"/>
                <w:szCs w:val="20"/>
                <w:color w:val="auto"/>
              </w:rPr>
            </w:pPr>
            <w:r>
              <w:rPr>
                <w:rFonts w:ascii="Arial" w:cs="Arial" w:eastAsia="Arial" w:hAnsi="Arial"/>
                <w:sz w:val="20"/>
                <w:szCs w:val="20"/>
                <w:b w:val="1"/>
                <w:bCs w:val="1"/>
                <w:color w:val="auto"/>
              </w:rPr>
              <w:t>TO:</w:t>
            </w: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The Cooper Companies, Inc.</w:t>
            </w:r>
          </w:p>
        </w:tc>
        <w:tc>
          <w:tcPr>
            <w:tcW w:w="0" w:type="dxa"/>
            <w:vAlign w:val="bottom"/>
          </w:tcPr>
          <w:p>
            <w:pPr>
              <w:spacing w:after="0"/>
              <w:rPr>
                <w:sz w:val="1"/>
                <w:szCs w:val="1"/>
                <w:color w:val="auto"/>
              </w:rPr>
            </w:pPr>
          </w:p>
        </w:tc>
      </w:tr>
      <w:tr>
        <w:trPr>
          <w:trHeight w:val="23"/>
        </w:trPr>
        <w:tc>
          <w:tcPr>
            <w:tcW w:w="120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FROM:</w:t>
            </w:r>
          </w:p>
        </w:tc>
        <w:tc>
          <w:tcPr>
            <w:tcW w:w="5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1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Holly Sheffield</w:t>
            </w:r>
          </w:p>
        </w:tc>
        <w:tc>
          <w:tcPr>
            <w:tcW w:w="0" w:type="dxa"/>
            <w:vAlign w:val="bottom"/>
          </w:tcPr>
          <w:p>
            <w:pPr>
              <w:spacing w:after="0"/>
              <w:rPr>
                <w:sz w:val="1"/>
                <w:szCs w:val="1"/>
                <w:color w:val="auto"/>
              </w:rPr>
            </w:pPr>
          </w:p>
        </w:tc>
      </w:tr>
      <w:tr>
        <w:trPr>
          <w:trHeight w:val="23"/>
        </w:trPr>
        <w:tc>
          <w:tcPr>
            <w:tcW w:w="120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DATE:</w:t>
            </w:r>
          </w:p>
        </w:tc>
        <w:tc>
          <w:tcPr>
            <w:tcW w:w="5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1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April 12, 2019</w:t>
            </w: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660" w:right="600" w:hanging="652"/>
        <w:spacing w:after="0" w:line="451" w:lineRule="auto"/>
        <w:tabs>
          <w:tab w:leader="none" w:pos="39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Prior Inventions Disclosure</w:t>
      </w:r>
      <w:r>
        <w:rPr>
          <w:rFonts w:ascii="Arial" w:cs="Arial" w:eastAsia="Arial" w:hAnsi="Arial"/>
          <w:sz w:val="22"/>
          <w:szCs w:val="22"/>
          <w:color w:val="auto"/>
        </w:rPr>
        <w:t>. Except as listed in Section 2 below, the following is a complete list of all Prior Inventions:</w:t>
      </w:r>
      <w:r>
        <w:rPr>
          <w:rFonts w:ascii="Arial" w:cs="Arial" w:eastAsia="Arial" w:hAnsi="Arial"/>
          <w:sz w:val="22"/>
          <w:szCs w:val="22"/>
          <w:b w:val="1"/>
          <w:bCs w:val="1"/>
          <w:color w:val="auto"/>
        </w:rPr>
        <w:t xml:space="preserve"> </w:t>
      </w:r>
      <w:r>
        <w:rPr>
          <w:rFonts w:ascii="Arial" w:cs="Arial" w:eastAsia="Arial" w:hAnsi="Arial"/>
          <w:sz w:val="22"/>
          <w:szCs w:val="22"/>
          <w:color w:val="auto"/>
        </w:rPr>
        <w:t>No Prior Inventions.</w:t>
      </w: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1405255</wp:posOffset>
            </wp:positionV>
            <wp:extent cx="54540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1207770</wp:posOffset>
            </wp:positionV>
            <wp:extent cx="54540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1010920</wp:posOffset>
            </wp:positionV>
            <wp:extent cx="54540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813435</wp:posOffset>
            </wp:positionV>
            <wp:extent cx="54540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615950</wp:posOffset>
            </wp:positionV>
            <wp:extent cx="54540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419100</wp:posOffset>
            </wp:positionV>
            <wp:extent cx="54540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sheets attached.</w:t>
      </w:r>
    </w:p>
    <w:p>
      <w:pPr>
        <w:spacing w:after="0" w:line="220" w:lineRule="exact"/>
        <w:rPr>
          <w:sz w:val="20"/>
          <w:szCs w:val="20"/>
          <w:color w:val="auto"/>
        </w:rPr>
      </w:pPr>
    </w:p>
    <w:p>
      <w:pPr>
        <w:jc w:val="both"/>
        <w:ind w:firstLine="8"/>
        <w:spacing w:after="0" w:line="253" w:lineRule="auto"/>
        <w:tabs>
          <w:tab w:leader="none" w:pos="473" w:val="left"/>
        </w:tabs>
        <w:numPr>
          <w:ilvl w:val="0"/>
          <w:numId w:val="131"/>
        </w:numPr>
        <w:rPr>
          <w:rFonts w:ascii="Arial" w:cs="Arial" w:eastAsia="Arial" w:hAnsi="Arial"/>
          <w:sz w:val="22"/>
          <w:szCs w:val="22"/>
          <w:b w:val="1"/>
          <w:bCs w:val="1"/>
          <w:color w:val="auto"/>
        </w:rPr>
      </w:pPr>
      <w:r>
        <w:rPr>
          <w:rFonts w:ascii="Arial" w:cs="Arial" w:eastAsia="Arial" w:hAnsi="Arial"/>
          <w:sz w:val="22"/>
          <w:szCs w:val="22"/>
          <w:color w:val="auto"/>
        </w:rPr>
        <w:t>Due to a prior confidentiality agreement, I cannot complete the disclosure under Section 1 above with respect to the Prior Inventions generally listed below, the intellectual property rights and duty of confidentiality with respect to which I owe to the following party(ies):</w:t>
      </w:r>
    </w:p>
    <w:p>
      <w:pPr>
        <w:spacing w:after="0" w:line="200" w:lineRule="exact"/>
        <w:rPr>
          <w:sz w:val="20"/>
          <w:szCs w:val="20"/>
          <w:color w:val="auto"/>
        </w:rPr>
      </w:pPr>
    </w:p>
    <w:p>
      <w:pPr>
        <w:spacing w:after="0" w:line="236" w:lineRule="exact"/>
        <w:rPr>
          <w:sz w:val="20"/>
          <w:szCs w:val="20"/>
          <w:color w:val="auto"/>
        </w:rPr>
      </w:pPr>
    </w:p>
    <w:p>
      <w:pPr>
        <w:ind w:left="1640"/>
        <w:spacing w:after="0"/>
        <w:tabs>
          <w:tab w:leader="none" w:pos="5900" w:val="left"/>
          <w:tab w:leader="none" w:pos="9460" w:val="left"/>
        </w:tabs>
        <w:rPr>
          <w:sz w:val="20"/>
          <w:szCs w:val="20"/>
          <w:color w:val="auto"/>
        </w:rPr>
      </w:pPr>
      <w:r>
        <w:rPr>
          <w:rFonts w:ascii="Arial" w:cs="Arial" w:eastAsia="Arial" w:hAnsi="Arial"/>
          <w:sz w:val="22"/>
          <w:szCs w:val="22"/>
          <w:b w:val="1"/>
          <w:bCs w:val="1"/>
          <w:color w:val="auto"/>
        </w:rPr>
        <w:t>Excluded Invention</w:t>
      </w:r>
      <w:r>
        <w:rPr>
          <w:sz w:val="20"/>
          <w:szCs w:val="20"/>
          <w:color w:val="auto"/>
        </w:rPr>
        <w:tab/>
      </w:r>
      <w:r>
        <w:rPr>
          <w:rFonts w:ascii="Arial" w:cs="Arial" w:eastAsia="Arial" w:hAnsi="Arial"/>
          <w:sz w:val="22"/>
          <w:szCs w:val="22"/>
          <w:b w:val="1"/>
          <w:bCs w:val="1"/>
          <w:color w:val="auto"/>
        </w:rPr>
        <w:t>Party(ies)</w:t>
      </w:r>
      <w:r>
        <w:rPr>
          <w:sz w:val="20"/>
          <w:szCs w:val="20"/>
          <w:color w:val="auto"/>
        </w:rPr>
        <w:tab/>
      </w:r>
      <w:r>
        <w:rPr>
          <w:rFonts w:ascii="Arial" w:cs="Arial" w:eastAsia="Arial" w:hAnsi="Arial"/>
          <w:sz w:val="19"/>
          <w:szCs w:val="19"/>
          <w:b w:val="1"/>
          <w:bCs w:val="1"/>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28575</wp:posOffset>
            </wp:positionV>
            <wp:extent cx="65862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Additional sheets attached.</w:t>
      </w:r>
    </w:p>
    <w:p>
      <w:pPr>
        <w:spacing w:after="0" w:line="200" w:lineRule="exact"/>
        <w:rPr>
          <w:sz w:val="20"/>
          <w:szCs w:val="20"/>
          <w:color w:val="auto"/>
        </w:rPr>
      </w:pPr>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Limited Exclusion Notification</w:t>
      </w:r>
      <w:r>
        <w:rPr>
          <w:rFonts w:ascii="Arial" w:cs="Arial" w:eastAsia="Arial" w:hAnsi="Arial"/>
          <w:sz w:val="19"/>
          <w:szCs w:val="19"/>
          <w:color w:val="auto"/>
        </w:rPr>
        <w:t>.</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This is to notify you in accordance with Section 2872 of the California Labor Code that the foregoing Agreement between you and Company does not require you to assign or offer to assign to Company any Invention that you develop entirely on your own time without using Company’s equipment, supplies, facilities or trade secret information, except for those Inventions that either:</w:t>
      </w:r>
    </w:p>
    <w:p>
      <w:pPr>
        <w:sectPr>
          <w:pgSz w:w="11900" w:h="16838" w:orient="portrait"/>
          <w:cols w:equalWidth="0" w:num="1">
            <w:col w:w="11420"/>
          </w:cols>
          <w:pgMar w:left="240" w:top="111" w:right="239" w:bottom="177" w:gutter="0" w:footer="0" w:header="0"/>
        </w:sectPr>
      </w:pPr>
    </w:p>
    <w:bookmarkStart w:id="125" w:name="page126"/>
    <w:bookmarkEnd w:id="125"/>
    <w:p>
      <w:pPr>
        <w:spacing w:after="0" w:line="113" w:lineRule="exact"/>
        <w:rPr>
          <w:sz w:val="20"/>
          <w:szCs w:val="20"/>
          <w:color w:val="auto"/>
        </w:rPr>
      </w:pPr>
    </w:p>
    <w:p>
      <w:pPr>
        <w:ind w:firstLine="656"/>
        <w:spacing w:after="0" w:line="263" w:lineRule="auto"/>
        <w:tabs>
          <w:tab w:leader="none" w:pos="1053" w:val="left"/>
        </w:tabs>
        <w:numPr>
          <w:ilvl w:val="0"/>
          <w:numId w:val="132"/>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to Company’s business, or actual or demonstrably anticipated research or development; or</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Result from any work performed by you for Company.</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signed on or within twenty-one (21) days after the Separation Date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My employment with the Cooper Companies, Inc. (“</w:t>
      </w:r>
      <w:r>
        <w:rPr>
          <w:rFonts w:ascii="Arial" w:cs="Arial" w:eastAsia="Arial" w:hAnsi="Arial"/>
          <w:sz w:val="19"/>
          <w:szCs w:val="19"/>
          <w:b w:val="1"/>
          <w:bCs w:val="1"/>
          <w:color w:val="auto"/>
        </w:rPr>
        <w:t>Company</w:t>
      </w:r>
      <w:r>
        <w:rPr>
          <w:rFonts w:ascii="Arial" w:cs="Arial" w:eastAsia="Arial" w:hAnsi="Arial"/>
          <w:sz w:val="19"/>
          <w:szCs w:val="19"/>
          <w:color w:val="auto"/>
        </w:rPr>
        <w:t>”) ended in all capacities on ________ (the “</w:t>
      </w:r>
      <w:r>
        <w:rPr>
          <w:rFonts w:ascii="Arial" w:cs="Arial" w:eastAsia="Arial" w:hAnsi="Arial"/>
          <w:sz w:val="19"/>
          <w:szCs w:val="19"/>
          <w:b w:val="1"/>
          <w:bCs w:val="1"/>
          <w:color w:val="auto"/>
        </w:rPr>
        <w:t>Separation Date</w:t>
      </w:r>
      <w:r>
        <w:rPr>
          <w:rFonts w:ascii="Arial" w:cs="Arial" w:eastAsia="Arial" w:hAnsi="Arial"/>
          <w:sz w:val="19"/>
          <w:szCs w:val="19"/>
          <w:color w:val="auto"/>
        </w:rPr>
        <w:t>”). I hereby</w:t>
      </w:r>
    </w:p>
    <w:p>
      <w:pPr>
        <w:spacing w:after="0" w:line="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confirm that I have been paid all compensation owed to me by Company for all hours worked; I have received all leave and leave benefits and protections for which I was eligible, pursuant to Company’s policies, applicable law, or otherwise; and I have not suffered any on-the-job injury or illness for which I have not already filed a workers’ compensation claim.</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I choose to enter into this Release and allow it to become effective by its terms, Company will provide me with certain severance benefits pursuant to the terms of the Executive Employment Agreement between me and Company dated ____, 2019 (the “</w:t>
      </w:r>
      <w:r>
        <w:rPr>
          <w:rFonts w:ascii="Arial" w:cs="Arial" w:eastAsia="Arial" w:hAnsi="Arial"/>
          <w:sz w:val="18"/>
          <w:szCs w:val="18"/>
          <w:b w:val="1"/>
          <w:bCs w:val="1"/>
          <w:color w:val="auto"/>
        </w:rPr>
        <w:t>Agreement</w:t>
      </w:r>
      <w:r>
        <w:rPr>
          <w:rFonts w:ascii="Arial" w:cs="Arial" w:eastAsia="Arial" w:hAnsi="Arial"/>
          <w:sz w:val="18"/>
          <w:szCs w:val="18"/>
          <w:color w:val="auto"/>
        </w:rPr>
        <w:t>”). I understand</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that I am not entitled to such severance benefits unless I return this fully-executed Release to Company within twenty-one (21) days after the Separation Date, and allow this Release to become fully effective and non-revocable by its terms. (Capitalized terms used but not defined in this Release shall have the meaning ascribed to them in the Agreement.)</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exchange for the severance benefits to which I would not otherwise be entitled, I hereby generally and completely release Company and its directors, officers, employees, shareholders, partners, agents, attorneys, predecessors, successors, parent and subsidiary entities, insurers, affiliates, and assigns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claims, liabilities and obligations, both known and unknown, arising from or in any way related to events, acts, conduct, or omissions occurring prior to or at the time that I sign this Release, including but not limited to claims arising from or in any way related to my employment with Company or the termination of that employment (collectively, the “</w:t>
      </w:r>
      <w:r>
        <w:rPr>
          <w:rFonts w:ascii="Arial" w:cs="Arial" w:eastAsia="Arial" w:hAnsi="Arial"/>
          <w:sz w:val="18"/>
          <w:szCs w:val="18"/>
          <w:b w:val="1"/>
          <w:bCs w:val="1"/>
          <w:color w:val="auto"/>
        </w:rPr>
        <w:t>Released Claims</w:t>
      </w:r>
      <w:r>
        <w:rPr>
          <w:rFonts w:ascii="Arial" w:cs="Arial" w:eastAsia="Arial" w:hAnsi="Arial"/>
          <w:sz w:val="18"/>
          <w:szCs w:val="18"/>
          <w:color w:val="auto"/>
        </w:rPr>
        <w:t>”). By way of example, the Released claims include, but are not limited to: (1) all claims related to my compensation or benefits from Company, including salary, bonuses, commissions, vacation pay, expense reimbursements, severance pay, fringe benefits, stock, stock options, or any other ownership interests in Company; (2) all claims for breach of contract, wrongful termination, and breach of the implied covenant of good faith and fair dealing; (3) all tort claims, including claims for fraud, defamation, emotional distress, and discharge in violation of public policy; and (4)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8"/>
          <w:szCs w:val="18"/>
          <w:b w:val="1"/>
          <w:bCs w:val="1"/>
          <w:color w:val="auto"/>
        </w:rPr>
        <w:t>ADEA</w:t>
      </w:r>
      <w:r>
        <w:rPr>
          <w:rFonts w:ascii="Arial" w:cs="Arial" w:eastAsia="Arial" w:hAnsi="Arial"/>
          <w:sz w:val="18"/>
          <w:szCs w:val="18"/>
          <w:color w:val="auto"/>
        </w:rPr>
        <w:t>”), and California state law.</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Notwithstanding the foregoing, the following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included in the Released Claims (the “</w:t>
      </w:r>
      <w:r>
        <w:rPr>
          <w:rFonts w:ascii="Arial" w:cs="Arial" w:eastAsia="Arial" w:hAnsi="Arial"/>
          <w:sz w:val="18"/>
          <w:szCs w:val="18"/>
          <w:b w:val="1"/>
          <w:bCs w:val="1"/>
          <w:color w:val="auto"/>
        </w:rPr>
        <w:t>Excluded Claims</w:t>
      </w:r>
      <w:r>
        <w:rPr>
          <w:rFonts w:ascii="Arial" w:cs="Arial" w:eastAsia="Arial" w:hAnsi="Arial"/>
          <w:sz w:val="18"/>
          <w:szCs w:val="18"/>
          <w:color w:val="auto"/>
        </w:rPr>
        <w:t>”): (a) any claims for breach of the Agreement arising after the date on which I sign this Release; (2) claims for reimbursement of properly incurred business expenses prior to and through the Separation Date which are submitted to Company for reimbursement within thirty (30) days after the Separation Date; (3) all rights I have in respect of the Equity Awards; (4) all claims for or rights to indemnification pursuant to this Agreement, the articles of incorporation and bylaws of Company, any indemnification agreement to which I am a party, or applicable law; (5) the Company’s continuing severance obligations under the Agreement; and (6) all claims which cannot be waived as a matter of law. I understand that nothing in this Release prevents me from filing, cooperating with, or participating in any proceeding before the Equal Employment Opportunity Commission, the Department of Labor, or any other government agency, except that I acknowledge and agree that I am hereby waiving my right to any monetary benefits in connection with any such claim, charge or proceeding (except for such benefits with respect to proceedings before the Securities and Exchange Commission). I hereby represent and warrant that, other than the Excluded Claims, I am not aware of any claims that I have or might have against any of the parties released above that are not included in the Released Claims.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 acknowledge that I am knowingly and voluntarily waiving and releasing any rights I may have under the ADEA, and that the consideration given for this Release is in addition to anything of value to which I was already entitled. I further acknowledge that I have been advised, as required by the ADEA, that: (a) my waiver and release does not apply to any rights or claims that may arise after the date I sign this Release;</w:t>
      </w:r>
    </w:p>
    <w:p>
      <w:pPr>
        <w:spacing w:after="0" w:line="1" w:lineRule="exact"/>
        <w:rPr>
          <w:sz w:val="20"/>
          <w:szCs w:val="20"/>
          <w:color w:val="auto"/>
        </w:rPr>
      </w:pPr>
    </w:p>
    <w:p>
      <w:pPr>
        <w:jc w:val="both"/>
        <w:ind w:firstLine="8"/>
        <w:spacing w:after="0" w:line="298" w:lineRule="auto"/>
        <w:tabs>
          <w:tab w:leader="none" w:pos="2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been advised that I have the right to consult with an attorney prior to executing this Release (although I may choose voluntarily not to do so); (c) I have been given twenty-one (21) days to consider this Release (although I may choose voluntarily to sign it earlier); (d) I have</w:t>
      </w:r>
    </w:p>
    <w:p>
      <w:pPr>
        <w:sectPr>
          <w:pgSz w:w="11900" w:h="16951" w:orient="portrait"/>
          <w:cols w:equalWidth="0" w:num="1">
            <w:col w:w="11420"/>
          </w:cols>
          <w:pgMar w:left="240" w:top="131" w:right="239" w:bottom="0" w:gutter="0" w:footer="0" w:header="0"/>
        </w:sectPr>
      </w:pPr>
    </w:p>
    <w:bookmarkStart w:id="126" w:name="page127"/>
    <w:bookmarkEnd w:id="126"/>
    <w:p>
      <w:pPr>
        <w:jc w:val="both"/>
        <w:spacing w:after="0" w:line="270" w:lineRule="auto"/>
        <w:rPr>
          <w:sz w:val="20"/>
          <w:szCs w:val="20"/>
          <w:color w:val="auto"/>
        </w:rPr>
      </w:pPr>
      <w:r>
        <w:rPr>
          <w:rFonts w:ascii="Arial" w:cs="Arial" w:eastAsia="Arial" w:hAnsi="Arial"/>
          <w:sz w:val="19"/>
          <w:szCs w:val="19"/>
          <w:color w:val="auto"/>
        </w:rPr>
        <w:t>seven (7) days following my execution of this Release to revoke my acceptance of it (with such revocation to be delivered in writing to the Chair of the Board within the 7-day revocation period); and (e) this Release will not be effective until the date upon which the revocation period has expired, which will be the eighth day after I sign it, provided I do not earlier revoke it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required under California law for a general release of all known and unknown claims, I acknowledge that I have read and understand Section 1542 of the California Civil Code which reads as follows: “A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 I hereby expressly waive and relinquish all rights and benefits under that section and any law or legal principle of similar effect in any jurisdiction with respect to my release of claims herein, including but not limited to the release of unknown and unsuspected claims.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 further agree: (a) not to disparage Company or any of the other Released Parties, in any manner likely to be harmful to its or their business, business reputation or personal reputation (although I may respond accurately and fully to any question, inquiry or request for information as required by legal process); (b) not to voluntarily (except in response to legal compulsion) assist any third party in bringing or pursuing any proposed or pending litigation, arbitration, administrative claim or other formal proceedings against Company, its affiliates, officers, directors, employees or agents; and (c) to reasonably cooperate with Company by voluntarily (without legal compulsion) providing accurate and complete information, in connection with Company’s actual or contemplated defense, prosecution or investigation of any claims or demands by or against third parties, or other matters, arising from events, acts, or omissions that occurred during my employment with Company. I hereby certify that I have returned, without retaining any reproductions (in whole or in part), all information, materials and other property of Company, including but not limited to any embodiment (in any medium) of any confidential or proprietary information of Company (including but not limited to any such embodiments on any personally-owned electronic or other storage device such as computer, cellular phone, PDA, tablet or the like).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Release, together with the Agreement (including all Exhibits and documents incorporated therein by reference), constitutes the complete, final and exclusive embodiment of the entire agreement between me and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Reviewed, Understood and Agreed:</w:t>
      </w:r>
    </w:p>
    <w:p>
      <w:pPr>
        <w:spacing w:after="0" w:line="200" w:lineRule="exact"/>
        <w:rPr>
          <w:sz w:val="20"/>
          <w:szCs w:val="20"/>
          <w:color w:val="auto"/>
        </w:rPr>
      </w:pPr>
    </w:p>
    <w:p>
      <w:pPr>
        <w:spacing w:after="0" w:line="251"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7805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054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Holly R. Sheffield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122"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10.5</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EXECUTIVE EMPLOYMENT AGREEMENT</w:t>
      </w:r>
    </w:p>
    <w:p>
      <w:pPr>
        <w:spacing w:after="0" w:line="3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THIS EXECUTIVE EMPLOYMENT AGREEMENT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is made by and between The Cooper Companies, Inc.</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and Robert D. Auerbach, M.D. (“</w:t>
      </w:r>
      <w:r>
        <w:rPr>
          <w:rFonts w:ascii="Arial" w:cs="Arial" w:eastAsia="Arial" w:hAnsi="Arial"/>
          <w:sz w:val="19"/>
          <w:szCs w:val="19"/>
          <w:b w:val="1"/>
          <w:bCs w:val="1"/>
          <w:color w:val="auto"/>
        </w:rPr>
        <w:t>Executive</w:t>
      </w:r>
      <w:r>
        <w:rPr>
          <w:rFonts w:ascii="Arial" w:cs="Arial" w:eastAsia="Arial" w:hAnsi="Arial"/>
          <w:sz w:val="19"/>
          <w:szCs w:val="19"/>
          <w:color w:val="auto"/>
        </w:rPr>
        <w:t>”) (collectively, the “</w:t>
      </w:r>
      <w:r>
        <w:rPr>
          <w:rFonts w:ascii="Arial" w:cs="Arial" w:eastAsia="Arial" w:hAnsi="Arial"/>
          <w:sz w:val="19"/>
          <w:szCs w:val="19"/>
          <w:b w:val="1"/>
          <w:bCs w:val="1"/>
          <w:color w:val="auto"/>
        </w:rPr>
        <w:t>Parties</w:t>
      </w:r>
      <w:r>
        <w:rPr>
          <w:rFonts w:ascii="Arial" w:cs="Arial" w:eastAsia="Arial" w:hAnsi="Arial"/>
          <w:sz w:val="19"/>
          <w:szCs w:val="19"/>
          <w:color w:val="auto"/>
        </w:rPr>
        <w:t>”, each a “</w:t>
      </w:r>
      <w:r>
        <w:rPr>
          <w:rFonts w:ascii="Arial" w:cs="Arial" w:eastAsia="Arial" w:hAnsi="Arial"/>
          <w:sz w:val="19"/>
          <w:szCs w:val="19"/>
          <w:b w:val="1"/>
          <w:bCs w:val="1"/>
          <w:color w:val="auto"/>
        </w:rPr>
        <w:t>Party</w:t>
      </w:r>
      <w:r>
        <w:rPr>
          <w:rFonts w:ascii="Arial" w:cs="Arial" w:eastAsia="Arial" w:hAnsi="Arial"/>
          <w:sz w:val="19"/>
          <w:szCs w:val="19"/>
          <w:color w:val="auto"/>
        </w:rPr>
        <w:t>”). As of the date (the “</w:t>
      </w:r>
      <w:r>
        <w:rPr>
          <w:rFonts w:ascii="Arial" w:cs="Arial" w:eastAsia="Arial" w:hAnsi="Arial"/>
          <w:sz w:val="19"/>
          <w:szCs w:val="19"/>
          <w:b w:val="1"/>
          <w:bCs w:val="1"/>
          <w:color w:val="auto"/>
        </w:rPr>
        <w:t>Execution</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this Agreement has been executed by both Parties, it will be deemed effective as of November 1, 2018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is currently employed by Company as its President of CooperSurgical, Inc.;</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Company wishes to continue to employ Executive and Executive wishes to be employed by Company on the terms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herein; and</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intend for this Agreement to set forth all of the terms and conditions of Executive’s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to supersede and replace all prior agreements, arrangements, representations or understandings between the Parties regarding Executive’s employment with Company, except for those prior agreements specifically identified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and covenants contained herein, the Parties agree as follows:</w:t>
      </w:r>
    </w:p>
    <w:p>
      <w:pPr>
        <w:spacing w:after="0" w:line="241" w:lineRule="exact"/>
        <w:rPr>
          <w:sz w:val="20"/>
          <w:szCs w:val="20"/>
          <w:color w:val="auto"/>
        </w:rPr>
      </w:pPr>
    </w:p>
    <w:p>
      <w:pPr>
        <w:ind w:firstLine="8"/>
        <w:spacing w:after="0" w:line="295" w:lineRule="auto"/>
        <w:tabs>
          <w:tab w:leader="none" w:pos="797"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POSITION. </w:t>
      </w:r>
      <w:r>
        <w:rPr>
          <w:rFonts w:ascii="Arial" w:cs="Arial" w:eastAsia="Arial" w:hAnsi="Arial"/>
          <w:sz w:val="20"/>
          <w:szCs w:val="20"/>
          <w:color w:val="auto"/>
        </w:rPr>
        <w:t>Company will continue to employ Executive and Executive shall continue to serve Company in the capacity of</w:t>
      </w:r>
      <w:r>
        <w:rPr>
          <w:rFonts w:ascii="Arial" w:cs="Arial" w:eastAsia="Arial" w:hAnsi="Arial"/>
          <w:sz w:val="20"/>
          <w:szCs w:val="20"/>
          <w:b w:val="1"/>
          <w:bCs w:val="1"/>
          <w:color w:val="auto"/>
        </w:rPr>
        <w:t xml:space="preserve"> </w:t>
      </w:r>
      <w:r>
        <w:rPr>
          <w:rFonts w:ascii="Arial" w:cs="Arial" w:eastAsia="Arial" w:hAnsi="Arial"/>
          <w:sz w:val="20"/>
          <w:szCs w:val="20"/>
          <w:color w:val="auto"/>
        </w:rPr>
        <w:t>President of CooperSurgical, Inc..</w:t>
      </w:r>
    </w:p>
    <w:p>
      <w:pPr>
        <w:spacing w:after="0" w:line="150" w:lineRule="exact"/>
        <w:rPr>
          <w:rFonts w:ascii="Arial" w:cs="Arial" w:eastAsia="Arial" w:hAnsi="Arial"/>
          <w:sz w:val="20"/>
          <w:szCs w:val="20"/>
          <w:b w:val="1"/>
          <w:bCs w:val="1"/>
          <w:color w:val="auto"/>
        </w:rPr>
      </w:pPr>
    </w:p>
    <w:p>
      <w:pPr>
        <w:jc w:val="both"/>
        <w:ind w:firstLine="8"/>
        <w:spacing w:after="0" w:line="254" w:lineRule="auto"/>
        <w:tabs>
          <w:tab w:leader="none" w:pos="369" w:val="left"/>
        </w:tabs>
        <w:numPr>
          <w:ilvl w:val="0"/>
          <w:numId w:val="1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w:t>
      </w:r>
      <w:r>
        <w:rPr>
          <w:rFonts w:ascii="Arial" w:cs="Arial" w:eastAsia="Arial" w:hAnsi="Arial"/>
          <w:sz w:val="19"/>
          <w:szCs w:val="19"/>
          <w:color w:val="auto"/>
        </w:rPr>
        <w:t>As President of CooperSurgical, Inc., Executive shall render exclusive, full-time services to Company and its subsidiaries, and</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such authority and perform such duties as assigned to Executive by Company’s Chief Executive Officer (the “</w:t>
      </w:r>
      <w:r>
        <w:rPr>
          <w:rFonts w:ascii="Arial" w:cs="Arial" w:eastAsia="Arial" w:hAnsi="Arial"/>
          <w:sz w:val="19"/>
          <w:szCs w:val="19"/>
          <w:b w:val="1"/>
          <w:bCs w:val="1"/>
          <w:color w:val="auto"/>
        </w:rPr>
        <w:t>CEO</w:t>
      </w:r>
      <w:r>
        <w:rPr>
          <w:rFonts w:ascii="Arial" w:cs="Arial" w:eastAsia="Arial" w:hAnsi="Arial"/>
          <w:sz w:val="19"/>
          <w:szCs w:val="19"/>
          <w:color w:val="auto"/>
        </w:rPr>
        <w:t>”). Executive shall report to the CEO. Executive shall perform services under this Agreement primarily at Company’s office in Pleasanton, California, and undertake business travel as necessary in performing the duties of his position. Subject to the terms of this Agreement, Executive’s responsibilities, working conditions and duties may be modified at the sole discretion of the CEO or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xml:space="preserve">”). While employed by Company, Executive shall not compete with, or prepare to compete with Company, and Executive shall devote Executive’s best efforts and full business time, skill and attention to performance of Executive’s duties on behalf of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Executive may engage in civic, educational and not-for-profit activities (</w:t>
      </w:r>
      <w:r>
        <w:rPr>
          <w:rFonts w:ascii="Arial" w:cs="Arial" w:eastAsia="Arial" w:hAnsi="Arial"/>
          <w:sz w:val="19"/>
          <w:szCs w:val="19"/>
          <w:i w:val="1"/>
          <w:iCs w:val="1"/>
          <w:color w:val="auto"/>
        </w:rPr>
        <w:t xml:space="preserve">e.g. </w:t>
      </w:r>
      <w:r>
        <w:rPr>
          <w:rFonts w:ascii="Arial" w:cs="Arial" w:eastAsia="Arial" w:hAnsi="Arial"/>
          <w:sz w:val="19"/>
          <w:szCs w:val="19"/>
          <w:color w:val="auto"/>
        </w:rPr>
        <w:t>charitable, university affiliation and industry</w:t>
      </w:r>
      <w:r>
        <w:rPr>
          <w:rFonts w:ascii="Arial" w:cs="Arial" w:eastAsia="Arial" w:hAnsi="Arial"/>
          <w:sz w:val="19"/>
          <w:szCs w:val="19"/>
          <w:i w:val="1"/>
          <w:iCs w:val="1"/>
          <w:color w:val="auto"/>
        </w:rPr>
        <w:t xml:space="preserve"> </w:t>
      </w:r>
      <w:r>
        <w:rPr>
          <w:rFonts w:ascii="Arial" w:cs="Arial" w:eastAsia="Arial" w:hAnsi="Arial"/>
          <w:sz w:val="19"/>
          <w:szCs w:val="19"/>
          <w:color w:val="auto"/>
        </w:rPr>
        <w:t>association activities) as long as such activities do not materially interfere with Executive’s obligations hereunder or conflict with the interests of Company. During Executive’s employment with Company, Executive agrees not to engage in any business or for-profit activities outside Company, including serving on any advisory boards or boards of directors of for-profit entities other than in a representative capacity for the Company or its affiliates, except with the prior written approval of the CEO, which approval may be rescinded at any time in the CEO’s sole discretion; provided however, that in the event of such rescission Executive shall be permitted reasonable time for orderly withdrawal from any board with respect to which such consent has been rescinded. By signing this Agreement, Executive represents that, to the best of Executive’s knowledge, Executive is not subject to any other contract or duty that would interfere in any way with Executive’s employment with Company or performance of employment duties hereunder.</w:t>
      </w:r>
    </w:p>
    <w:p>
      <w:pPr>
        <w:spacing w:after="0" w:line="189" w:lineRule="exact"/>
        <w:rPr>
          <w:rFonts w:ascii="Arial" w:cs="Arial" w:eastAsia="Arial" w:hAnsi="Arial"/>
          <w:sz w:val="19"/>
          <w:szCs w:val="19"/>
          <w:b w:val="1"/>
          <w:bCs w:val="1"/>
          <w:color w:val="auto"/>
        </w:rPr>
      </w:pPr>
    </w:p>
    <w:p>
      <w:pPr>
        <w:jc w:val="both"/>
        <w:ind w:firstLine="8"/>
        <w:spacing w:after="0" w:line="253" w:lineRule="auto"/>
        <w:tabs>
          <w:tab w:leader="none" w:pos="436"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POLICIES AND PROCEDURES. </w:t>
      </w:r>
      <w:r>
        <w:rPr>
          <w:rFonts w:ascii="Arial" w:cs="Arial" w:eastAsia="Arial" w:hAnsi="Arial"/>
          <w:sz w:val="20"/>
          <w:szCs w:val="20"/>
          <w:color w:val="auto"/>
        </w:rPr>
        <w:t>Executive shall be subject to and will comply with the policies and procedures of Company, as</w:t>
      </w:r>
      <w:r>
        <w:rPr>
          <w:rFonts w:ascii="Arial" w:cs="Arial" w:eastAsia="Arial" w:hAnsi="Arial"/>
          <w:sz w:val="20"/>
          <w:szCs w:val="20"/>
          <w:b w:val="1"/>
          <w:bCs w:val="1"/>
          <w:color w:val="auto"/>
        </w:rPr>
        <w:t xml:space="preserve"> </w:t>
      </w:r>
      <w:r>
        <w:rPr>
          <w:rFonts w:ascii="Arial" w:cs="Arial" w:eastAsia="Arial" w:hAnsi="Arial"/>
          <w:sz w:val="20"/>
          <w:szCs w:val="20"/>
          <w:color w:val="auto"/>
        </w:rPr>
        <w:t>modified from time to time at Company’s sole discretion, except to the extent any such policy or procedure specifically conflicts with the express terms of this Agreement (in which case, this Agreement shall control).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121" w:right="239" w:bottom="1440" w:gutter="0" w:footer="0" w:header="0"/>
        </w:sectPr>
      </w:pPr>
    </w:p>
    <w:bookmarkStart w:id="128" w:name="page129"/>
    <w:bookmarkEnd w:id="128"/>
    <w:p>
      <w:pPr>
        <w:jc w:val="both"/>
        <w:ind w:firstLine="8"/>
        <w:spacing w:after="0" w:line="277" w:lineRule="auto"/>
        <w:tabs>
          <w:tab w:leader="none" w:pos="34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For services rendered hereunder, Executive shall receive an initial base salary at the rate of $425,000 per year,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payroll withholdings and deductions, which shall be deemed to have been effective as of November 1, 2018, and an initial true-up payment will be made within fifteen (15) days of the Execution Date. Otherwise, such base salary amount will be paid periodically in accordance with ordinary Company payroll practices. Executive’s base salary shall be subject to annual reviews and periodic adjustment by the Compensation Committee of the Board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which has full discretion to adjust Executive’s base salary. (For purposes of this Agreement, Executive’s base salary as so adjusted from time to time, shall be referred to as the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60" w:lineRule="exact"/>
        <w:rPr>
          <w:rFonts w:ascii="Arial" w:cs="Arial" w:eastAsia="Arial" w:hAnsi="Arial"/>
          <w:sz w:val="18"/>
          <w:szCs w:val="18"/>
          <w:b w:val="1"/>
          <w:bCs w:val="1"/>
          <w:color w:val="auto"/>
        </w:rPr>
      </w:pPr>
    </w:p>
    <w:p>
      <w:pPr>
        <w:jc w:val="both"/>
        <w:ind w:firstLine="8"/>
        <w:spacing w:after="0" w:line="270" w:lineRule="auto"/>
        <w:tabs>
          <w:tab w:leader="none" w:pos="38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BONUS. </w:t>
      </w:r>
      <w:r>
        <w:rPr>
          <w:rFonts w:ascii="Arial" w:cs="Arial" w:eastAsia="Arial" w:hAnsi="Arial"/>
          <w:sz w:val="18"/>
          <w:szCs w:val="18"/>
          <w:color w:val="auto"/>
        </w:rPr>
        <w:t>Executive will be eligible to receive an annual performance bonus (“</w:t>
      </w:r>
      <w:r>
        <w:rPr>
          <w:rFonts w:ascii="Arial" w:cs="Arial" w:eastAsia="Arial" w:hAnsi="Arial"/>
          <w:sz w:val="18"/>
          <w:szCs w:val="18"/>
          <w:b w:val="1"/>
          <w:bCs w:val="1"/>
          <w:color w:val="auto"/>
        </w:rPr>
        <w:t>Performance Bonus</w:t>
      </w:r>
      <w:r>
        <w:rPr>
          <w:rFonts w:ascii="Arial" w:cs="Arial" w:eastAsia="Arial" w:hAnsi="Arial"/>
          <w:sz w:val="18"/>
          <w:szCs w:val="18"/>
          <w:color w:val="auto"/>
        </w:rPr>
        <w:t>”), with a target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level (the </w:t>
      </w:r>
      <w:r>
        <w:rPr>
          <w:rFonts w:ascii="Arial" w:cs="Arial" w:eastAsia="Arial" w:hAnsi="Arial"/>
          <w:sz w:val="18"/>
          <w:szCs w:val="18"/>
          <w:b w:val="1"/>
          <w:bCs w:val="1"/>
          <w:color w:val="auto"/>
        </w:rPr>
        <w:t>“Bonus Target”</w:t>
      </w:r>
      <w:r>
        <w:rPr>
          <w:rFonts w:ascii="Arial" w:cs="Arial" w:eastAsia="Arial" w:hAnsi="Arial"/>
          <w:sz w:val="18"/>
          <w:szCs w:val="18"/>
          <w:color w:val="auto"/>
        </w:rPr>
        <w:t>) determined pursuant to Company’s Incentive Performance Plan (the “</w:t>
      </w:r>
      <w:r>
        <w:rPr>
          <w:rFonts w:ascii="Arial" w:cs="Arial" w:eastAsia="Arial" w:hAnsi="Arial"/>
          <w:sz w:val="18"/>
          <w:szCs w:val="18"/>
          <w:b w:val="1"/>
          <w:bCs w:val="1"/>
          <w:color w:val="auto"/>
        </w:rPr>
        <w:t>IPP</w:t>
      </w:r>
      <w:r>
        <w:rPr>
          <w:rFonts w:ascii="Arial" w:cs="Arial" w:eastAsia="Arial" w:hAnsi="Arial"/>
          <w:sz w:val="18"/>
          <w:szCs w:val="18"/>
          <w:color w:val="auto"/>
        </w:rPr>
        <w:t>”). The Board or its Compensation Committee will use best efforts to determine the Bonus Target for each year no later than March 31 of such year. The annual amount of such Performance Bonus shall be determined in the sole discretion of the Board or by its Compensation Committee (under authority delegated by the Board), based upon a review of both Executive's individual performance and Company’s performance, pursuant to Company’s IPP. The Board or the Compensation Committee, in their sole discretion, shall determine: the extent to which both Company and Executive have achieved any corporate or individual performance goals or targets, or other terms and conditions applicable to the Performance Bonus; the amount of the Performance Bonus (if any); and whether and to what extent a Performance Bonus may be paid with respect to any year during which Executive's employment terminates, subject to the terms and conditions of this Agreement. Performance Bonuses are not earned until they are approved in writing by the Board or Compensation Committee and paid to senior executive officers of Company. Any Performance Bonuses earned shall be paid subject to applicable employment taxes, withholding and deductions. Except as otherwise expressly provided in this Agreement, Executive must remain continuously employed with Company through the date that Performance Bonuses are generally paid to senior executive officers of Company in order to be eligible to receive such Performance Bonus.</w:t>
      </w:r>
    </w:p>
    <w:p>
      <w:pPr>
        <w:spacing w:after="0" w:line="173" w:lineRule="exact"/>
        <w:rPr>
          <w:rFonts w:ascii="Arial" w:cs="Arial" w:eastAsia="Arial" w:hAnsi="Arial"/>
          <w:sz w:val="18"/>
          <w:szCs w:val="18"/>
          <w:b w:val="1"/>
          <w:bCs w:val="1"/>
          <w:color w:val="auto"/>
        </w:rPr>
      </w:pPr>
    </w:p>
    <w:p>
      <w:pPr>
        <w:ind w:left="340" w:hanging="332"/>
        <w:spacing w:after="0"/>
        <w:tabs>
          <w:tab w:leader="none" w:pos="340" w:val="left"/>
        </w:tabs>
        <w:numPr>
          <w:ilvl w:val="0"/>
          <w:numId w:val="1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BENEFITS. </w:t>
      </w:r>
      <w:r>
        <w:rPr>
          <w:rFonts w:ascii="Arial" w:cs="Arial" w:eastAsia="Arial" w:hAnsi="Arial"/>
          <w:sz w:val="19"/>
          <w:szCs w:val="19"/>
          <w:color w:val="auto"/>
        </w:rPr>
        <w:t>While employed by Company pursuant to this Agreement, Executive shall be entitled to the following benefits:</w:t>
      </w:r>
    </w:p>
    <w:p>
      <w:pPr>
        <w:spacing w:after="0" w:line="227" w:lineRule="exact"/>
        <w:rPr>
          <w:rFonts w:ascii="Arial" w:cs="Arial" w:eastAsia="Arial" w:hAnsi="Arial"/>
          <w:sz w:val="19"/>
          <w:szCs w:val="19"/>
          <w:b w:val="1"/>
          <w:bCs w:val="1"/>
          <w:color w:val="auto"/>
        </w:rPr>
      </w:pPr>
    </w:p>
    <w:p>
      <w:pPr>
        <w:jc w:val="both"/>
        <w:ind w:firstLine="656"/>
        <w:spacing w:after="0" w:line="280" w:lineRule="auto"/>
        <w:tabs>
          <w:tab w:leader="none" w:pos="1099" w:val="left"/>
        </w:tabs>
        <w:numPr>
          <w:ilvl w:val="1"/>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Benefits</w:t>
      </w:r>
      <w:r>
        <w:rPr>
          <w:rFonts w:ascii="Arial" w:cs="Arial" w:eastAsia="Arial" w:hAnsi="Arial"/>
          <w:sz w:val="18"/>
          <w:szCs w:val="18"/>
          <w:color w:val="auto"/>
        </w:rPr>
        <w:t>. Executive shall be entitled to all benefits to which other executive officers of Company are entitled,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and conditions in effect from time to time, including, without limitation, participation in pension and profit sharing plans, Company’s 401(k) plan, group insurance policies and plans (including medical, health, vision, and disability insurance policies and plans, and the like), and executive perquisites, which may be maintained by Company for the benefit of its executives. Company reserves the right to alter, discontinue and/or amend its benefit plans and programs, as well as any executive perquisites, from time to time in its sole discretion.</w:t>
      </w:r>
    </w:p>
    <w:p>
      <w:pPr>
        <w:spacing w:after="0" w:line="156" w:lineRule="exact"/>
        <w:rPr>
          <w:rFonts w:ascii="Arial" w:cs="Arial" w:eastAsia="Arial" w:hAnsi="Arial"/>
          <w:sz w:val="18"/>
          <w:szCs w:val="18"/>
          <w:b w:val="1"/>
          <w:bCs w:val="1"/>
          <w:color w:val="auto"/>
        </w:rPr>
      </w:pPr>
    </w:p>
    <w:p>
      <w:pPr>
        <w:jc w:val="both"/>
        <w:ind w:firstLine="656"/>
        <w:spacing w:after="0" w:line="248" w:lineRule="auto"/>
        <w:tabs>
          <w:tab w:leader="none" w:pos="1111" w:val="left"/>
        </w:tabs>
        <w:numPr>
          <w:ilvl w:val="1"/>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Expense Reimbursement. </w:t>
      </w:r>
      <w:r>
        <w:rPr>
          <w:rFonts w:ascii="Arial" w:cs="Arial" w:eastAsia="Arial" w:hAnsi="Arial"/>
          <w:sz w:val="20"/>
          <w:szCs w:val="20"/>
          <w:color w:val="auto"/>
        </w:rPr>
        <w:t>Executive shall receive reimbursement for reasonable out-of-pocket expenses incurred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performance of Executive’s duties hereunder, including, but not limited to, any business travel on behalf of Company or its subsidiaries, in accordance with Company’s expense reimbursement policies and procedures in effect from time to time, including a requirement for specific itemization and documentation of such expenses.</w:t>
      </w:r>
    </w:p>
    <w:p>
      <w:pPr>
        <w:spacing w:after="0" w:line="183" w:lineRule="exact"/>
        <w:rPr>
          <w:rFonts w:ascii="Arial" w:cs="Arial" w:eastAsia="Arial" w:hAnsi="Arial"/>
          <w:sz w:val="20"/>
          <w:szCs w:val="20"/>
          <w:b w:val="1"/>
          <w:bCs w:val="1"/>
          <w:color w:val="auto"/>
        </w:rPr>
      </w:pPr>
    </w:p>
    <w:p>
      <w:pPr>
        <w:ind w:left="340" w:hanging="332"/>
        <w:spacing w:after="0"/>
        <w:tabs>
          <w:tab w:leader="none" w:pos="340"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 RIGHTS AND DUTIES.</w:t>
      </w:r>
    </w:p>
    <w:p>
      <w:pPr>
        <w:spacing w:after="0" w:line="215" w:lineRule="exact"/>
        <w:rPr>
          <w:rFonts w:ascii="Arial" w:cs="Arial" w:eastAsia="Arial" w:hAnsi="Arial"/>
          <w:sz w:val="20"/>
          <w:szCs w:val="20"/>
          <w:b w:val="1"/>
          <w:bCs w:val="1"/>
          <w:color w:val="auto"/>
        </w:rPr>
      </w:pPr>
    </w:p>
    <w:p>
      <w:pPr>
        <w:ind w:firstLine="656"/>
        <w:spacing w:after="0" w:line="267" w:lineRule="auto"/>
        <w:tabs>
          <w:tab w:leader="none" w:pos="1167" w:val="left"/>
        </w:tabs>
        <w:numPr>
          <w:ilvl w:val="1"/>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Executive agrees to execute and abide by the Employee Confidential Information and Invention</w:t>
      </w:r>
      <w:r>
        <w:rPr>
          <w:rFonts w:ascii="Arial" w:cs="Arial" w:eastAsia="Arial" w:hAnsi="Arial"/>
          <w:sz w:val="20"/>
          <w:szCs w:val="20"/>
          <w:b w:val="1"/>
          <w:bCs w:val="1"/>
          <w:color w:val="auto"/>
        </w:rPr>
        <w:t xml:space="preserve"> </w:t>
      </w:r>
      <w:r>
        <w:rPr>
          <w:rFonts w:ascii="Arial" w:cs="Arial" w:eastAsia="Arial" w:hAnsi="Arial"/>
          <w:sz w:val="20"/>
          <w:szCs w:val="20"/>
          <w:color w:val="auto"/>
        </w:rPr>
        <w:t>Assignment Agreement (the “</w:t>
      </w:r>
      <w:r>
        <w:rPr>
          <w:rFonts w:ascii="Arial" w:cs="Arial" w:eastAsia="Arial" w:hAnsi="Arial"/>
          <w:sz w:val="20"/>
          <w:szCs w:val="20"/>
          <w:b w:val="1"/>
          <w:bCs w:val="1"/>
          <w:color w:val="auto"/>
        </w:rPr>
        <w:t>Confidential Information Agreement</w:t>
      </w:r>
      <w:r>
        <w:rPr>
          <w:rFonts w:ascii="Arial" w:cs="Arial" w:eastAsia="Arial" w:hAnsi="Arial"/>
          <w:sz w:val="20"/>
          <w:szCs w:val="20"/>
          <w:color w:val="auto"/>
        </w:rPr>
        <w:t xml:space="preserve">”),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129" w:name="page130"/>
    <w:bookmarkEnd w:id="129"/>
    <w:p>
      <w:pPr>
        <w:jc w:val="both"/>
        <w:ind w:firstLine="656"/>
        <w:spacing w:after="0" w:line="253" w:lineRule="auto"/>
        <w:tabs>
          <w:tab w:leader="none" w:pos="1219" w:val="left"/>
        </w:tabs>
        <w:numPr>
          <w:ilvl w:val="1"/>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Exclusive Property</w:t>
      </w:r>
      <w:r>
        <w:rPr>
          <w:rFonts w:ascii="Arial" w:cs="Arial" w:eastAsia="Arial" w:hAnsi="Arial"/>
          <w:sz w:val="20"/>
          <w:szCs w:val="20"/>
          <w:color w:val="auto"/>
        </w:rPr>
        <w:t>. Executive agrees that all Company-related business procured by Executive, and all Company-related</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opportunities and plans made known to Executive while employed by Company, are and shall remain the permanent and exclusive property of Company.</w:t>
      </w:r>
    </w:p>
    <w:p>
      <w:pPr>
        <w:spacing w:after="0" w:line="177" w:lineRule="exact"/>
        <w:rPr>
          <w:rFonts w:ascii="Arial" w:cs="Arial" w:eastAsia="Arial" w:hAnsi="Arial"/>
          <w:sz w:val="20"/>
          <w:szCs w:val="20"/>
          <w:b w:val="1"/>
          <w:bCs w:val="1"/>
          <w:color w:val="auto"/>
        </w:rPr>
      </w:pPr>
    </w:p>
    <w:p>
      <w:pPr>
        <w:ind w:left="340" w:hanging="332"/>
        <w:spacing w:after="0"/>
        <w:tabs>
          <w:tab w:leader="none" w:pos="340"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w:t>
      </w:r>
    </w:p>
    <w:p>
      <w:pPr>
        <w:spacing w:after="0" w:line="215" w:lineRule="exact"/>
        <w:rPr>
          <w:rFonts w:ascii="Arial" w:cs="Arial" w:eastAsia="Arial" w:hAnsi="Arial"/>
          <w:sz w:val="20"/>
          <w:szCs w:val="20"/>
          <w:b w:val="1"/>
          <w:bCs w:val="1"/>
          <w:color w:val="auto"/>
        </w:rPr>
      </w:pPr>
    </w:p>
    <w:p>
      <w:pPr>
        <w:jc w:val="both"/>
        <w:ind w:firstLine="656"/>
        <w:spacing w:after="0" w:line="246" w:lineRule="auto"/>
        <w:tabs>
          <w:tab w:leader="none" w:pos="1059" w:val="left"/>
        </w:tabs>
        <w:numPr>
          <w:ilvl w:val="1"/>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At-Will Status. </w:t>
      </w:r>
      <w:r>
        <w:rPr>
          <w:rFonts w:ascii="Arial" w:cs="Arial" w:eastAsia="Arial" w:hAnsi="Arial"/>
          <w:sz w:val="20"/>
          <w:szCs w:val="20"/>
          <w:color w:val="auto"/>
        </w:rPr>
        <w:t>Company and Executive understand and agree that this employment relationship is at-will. Accordingly, there are</w:t>
      </w:r>
      <w:r>
        <w:rPr>
          <w:rFonts w:ascii="Arial" w:cs="Arial" w:eastAsia="Arial" w:hAnsi="Arial"/>
          <w:sz w:val="20"/>
          <w:szCs w:val="20"/>
          <w:b w:val="1"/>
          <w:bCs w:val="1"/>
          <w:color w:val="auto"/>
        </w:rPr>
        <w:t xml:space="preserve"> </w:t>
      </w:r>
      <w:r>
        <w:rPr>
          <w:rFonts w:ascii="Arial" w:cs="Arial" w:eastAsia="Arial" w:hAnsi="Arial"/>
          <w:sz w:val="20"/>
          <w:szCs w:val="20"/>
          <w:color w:val="auto"/>
        </w:rPr>
        <w:t>no promises or representations concerning the duration of Executive’s employment relationship, which may be terminated by either Executive or Company at any time, with or without Cause or Good Reason (as defined herein), and with or without advance notice. Executive’s at-will status cannot be altered except in an express written agreement signed by Executive and Company with specific written approval of Company’s Board.</w:t>
      </w:r>
    </w:p>
    <w:p>
      <w:pPr>
        <w:spacing w:after="0" w:line="185" w:lineRule="exact"/>
        <w:rPr>
          <w:rFonts w:ascii="Arial" w:cs="Arial" w:eastAsia="Arial" w:hAnsi="Arial"/>
          <w:sz w:val="20"/>
          <w:szCs w:val="20"/>
          <w:b w:val="1"/>
          <w:bCs w:val="1"/>
          <w:color w:val="auto"/>
        </w:rPr>
      </w:pPr>
    </w:p>
    <w:p>
      <w:pPr>
        <w:jc w:val="both"/>
        <w:ind w:firstLine="656"/>
        <w:spacing w:after="0" w:line="280" w:lineRule="auto"/>
        <w:tabs>
          <w:tab w:leader="none" w:pos="1111" w:val="left"/>
        </w:tabs>
        <w:numPr>
          <w:ilvl w:val="1"/>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Resignation by Executive. </w:t>
      </w:r>
      <w:r>
        <w:rPr>
          <w:rFonts w:ascii="Arial" w:cs="Arial" w:eastAsia="Arial" w:hAnsi="Arial"/>
          <w:sz w:val="18"/>
          <w:szCs w:val="18"/>
          <w:color w:val="auto"/>
        </w:rPr>
        <w:t>Executive may resign from Company with or without Good Reason. Executive agrees to provide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three (3) weeks advance written notice of a resignation without Good Reason, to allow for an orderly transition. Company may accelerate the date Executive’s resignation is to become effective, in its sole discretion. In the event Company accelerates the resignation effective date, Executive will be paid Base Salary severance through the originally tendered resignation date, provided that in no such event will Executive be entitled under this paragraph 9(b) to receive more than three (3) months of Base Salary severance beyond the accelerated resignation date.</w:t>
      </w:r>
    </w:p>
    <w:p>
      <w:pPr>
        <w:spacing w:after="0" w:line="156" w:lineRule="exact"/>
        <w:rPr>
          <w:rFonts w:ascii="Arial" w:cs="Arial" w:eastAsia="Arial" w:hAnsi="Arial"/>
          <w:sz w:val="18"/>
          <w:szCs w:val="18"/>
          <w:b w:val="1"/>
          <w:bCs w:val="1"/>
          <w:color w:val="auto"/>
        </w:rPr>
      </w:pPr>
    </w:p>
    <w:p>
      <w:pPr>
        <w:jc w:val="both"/>
        <w:ind w:firstLine="656"/>
        <w:spacing w:after="0" w:line="258" w:lineRule="auto"/>
        <w:tabs>
          <w:tab w:leader="none" w:pos="1088" w:val="left"/>
        </w:tabs>
        <w:numPr>
          <w:ilvl w:val="1"/>
          <w:numId w:val="1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Cause.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for Company to terminate Executive shall mean: (i)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conviction or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felony; (ii) Executive’s willful misconduct in performing Executive’s duties, where such misconduct has had or is reasonably likely to have a material adverse effect upon Company; or (iii) any material breach of this Agreement, the Confidential Information Agreement, any other fully executed agreement with Company, or Company’s policies. Notwithstanding the foregoing, if any act or omission giving rise to Cause is reasonably capable of cure, “</w:t>
      </w:r>
      <w:r>
        <w:rPr>
          <w:rFonts w:ascii="Arial" w:cs="Arial" w:eastAsia="Arial" w:hAnsi="Arial"/>
          <w:sz w:val="19"/>
          <w:szCs w:val="19"/>
          <w:b w:val="1"/>
          <w:bCs w:val="1"/>
          <w:color w:val="auto"/>
        </w:rPr>
        <w:t>Cause</w:t>
      </w:r>
      <w:r>
        <w:rPr>
          <w:rFonts w:ascii="Arial" w:cs="Arial" w:eastAsia="Arial" w:hAnsi="Arial"/>
          <w:sz w:val="19"/>
          <w:szCs w:val="19"/>
          <w:color w:val="auto"/>
        </w:rPr>
        <w:t xml:space="preserve">” for Company to terminate Executive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exist unless: (x) Company provides Executive with specific written notice of the existence of the condition giving rise to Cause within thirty (30) days after the condition giving rise to Cause was first reasonably discoverable by Company; and (y) Executive fails to cure such condition within thirty (30) days after Executive’s receipt of such written notice.</w:t>
      </w:r>
    </w:p>
    <w:p>
      <w:pPr>
        <w:spacing w:after="0" w:line="173" w:lineRule="exact"/>
        <w:rPr>
          <w:rFonts w:ascii="Arial" w:cs="Arial" w:eastAsia="Arial" w:hAnsi="Arial"/>
          <w:sz w:val="19"/>
          <w:szCs w:val="19"/>
          <w:b w:val="1"/>
          <w:bCs w:val="1"/>
          <w:color w:val="auto"/>
        </w:rPr>
      </w:pPr>
    </w:p>
    <w:p>
      <w:pPr>
        <w:jc w:val="both"/>
        <w:ind w:firstLine="656"/>
        <w:spacing w:after="0" w:line="255" w:lineRule="auto"/>
        <w:tabs>
          <w:tab w:leader="none" w:pos="1151" w:val="left"/>
        </w:tabs>
        <w:numPr>
          <w:ilvl w:val="1"/>
          <w:numId w:val="1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Good Reason.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means the occurrence of any of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Executive’s prior written consent: (i) one or more reductions in Executive’s combined Base Salary and Bonus Target that result in a total reduction of more than ten percent (10%) in Executive’s target package (which consists of the combined cash value of the Base Salary and Bonus Target, irrespective of the actual amount of any Performance Bonus awarded) over the twelve (12) month period immediately preceding such reductions, unless such reductions are made pursuant to one or more across-the-board reductions of all senior executives’ base salaries and/or bonus targets; (ii) a material diminution of Executive’s duties, authority or responsibilities taken as a whole; or (iii) an involuntary relocation of Executive’s principal place of employment to a location that increases Executive’s one-way commute from Executive’s principal residence by more than fifty (50) miles. For avoidance of doubt, any change resulting in Executive no longer reporting to the CEO shall constitute a material diminution of Executive’s duties, authorities, or responsibilities as set forth in clause (ii) above in this paragraph. Notwithstanding the foregoing, “</w:t>
      </w:r>
      <w:r>
        <w:rPr>
          <w:rFonts w:ascii="Arial" w:cs="Arial" w:eastAsia="Arial" w:hAnsi="Arial"/>
          <w:sz w:val="19"/>
          <w:szCs w:val="19"/>
          <w:b w:val="1"/>
          <w:bCs w:val="1"/>
          <w:color w:val="auto"/>
        </w:rPr>
        <w:t>Good Reason</w:t>
      </w:r>
      <w:r>
        <w:rPr>
          <w:rFonts w:ascii="Arial" w:cs="Arial" w:eastAsia="Arial" w:hAnsi="Arial"/>
          <w:sz w:val="19"/>
          <w:szCs w:val="19"/>
          <w:color w:val="auto"/>
        </w:rPr>
        <w:t xml:space="preserve">” for Executive to resign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exist unless: (x) Executive provides Company with specific written notice of the existence of the condition giving rise to Good Reason within ninety (90) days after its initial occurrence; (y) Company fails to remedy such condition within thirty (30) days after its receipt of such written notice; and (z) Executive resigns within ninety (90) days after the cure period has lapsed.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130" w:name="page131"/>
    <w:bookmarkEnd w:id="130"/>
    <w:p>
      <w:pPr>
        <w:jc w:val="both"/>
        <w:ind w:firstLine="656"/>
        <w:spacing w:after="0" w:line="245" w:lineRule="auto"/>
        <w:tabs>
          <w:tab w:leader="none" w:pos="1102" w:val="left"/>
        </w:tabs>
        <w:numPr>
          <w:ilvl w:val="0"/>
          <w:numId w:val="13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Final Pay upon Termination for Any Reason. </w:t>
      </w:r>
      <w:r>
        <w:rPr>
          <w:rFonts w:ascii="Arial" w:cs="Arial" w:eastAsia="Arial" w:hAnsi="Arial"/>
          <w:sz w:val="20"/>
          <w:szCs w:val="20"/>
          <w:color w:val="auto"/>
        </w:rPr>
        <w:t>Except as otherwise provided by this Agreement and/or required by law, upon</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Executive’s employment for any reason, Company’s obligation to make payments hereunder shall cease, except that Company shall pay all amounts due and payable for Executive’s services through Executive’s last day of employment (the “</w:t>
      </w:r>
      <w:r>
        <w:rPr>
          <w:rFonts w:ascii="Arial" w:cs="Arial" w:eastAsia="Arial" w:hAnsi="Arial"/>
          <w:sz w:val="20"/>
          <w:szCs w:val="20"/>
          <w:b w:val="1"/>
          <w:bCs w:val="1"/>
          <w:color w:val="auto"/>
        </w:rPr>
        <w:t>Separation Date</w:t>
      </w:r>
      <w:r>
        <w:rPr>
          <w:rFonts w:ascii="Arial" w:cs="Arial" w:eastAsia="Arial" w:hAnsi="Arial"/>
          <w:sz w:val="20"/>
          <w:szCs w:val="20"/>
          <w:color w:val="auto"/>
        </w:rPr>
        <w:t>”), including all accrued unpaid Base Salary and Performance Bonus compensation earned through Separation Date, any benefits accrued prior to the Separation Date, all accrued but unused vacation as of the Separation Date, and any reimbursable business expenses incurred but unreimbursed as of the Separation Date.</w:t>
      </w:r>
    </w:p>
    <w:p>
      <w:pPr>
        <w:spacing w:after="0" w:line="185" w:lineRule="exact"/>
        <w:rPr>
          <w:rFonts w:ascii="Arial" w:cs="Arial" w:eastAsia="Arial" w:hAnsi="Arial"/>
          <w:sz w:val="20"/>
          <w:szCs w:val="20"/>
          <w:b w:val="1"/>
          <w:bCs w:val="1"/>
          <w:color w:val="auto"/>
        </w:rPr>
      </w:pPr>
    </w:p>
    <w:p>
      <w:pPr>
        <w:ind w:left="1040" w:hanging="384"/>
        <w:spacing w:after="0"/>
        <w:tabs>
          <w:tab w:leader="none" w:pos="1040" w:val="left"/>
        </w:tabs>
        <w:numPr>
          <w:ilvl w:val="0"/>
          <w:numId w:val="138"/>
        </w:numPr>
        <w:rPr>
          <w:rFonts w:ascii="Arial" w:cs="Arial" w:eastAsia="Arial" w:hAnsi="Arial"/>
          <w:sz w:val="20"/>
          <w:szCs w:val="20"/>
          <w:b w:val="1"/>
          <w:bCs w:val="1"/>
          <w:color w:val="auto"/>
        </w:rPr>
      </w:pPr>
      <w:r>
        <w:rPr>
          <w:rFonts w:ascii="Arial" w:cs="Arial" w:eastAsia="Arial" w:hAnsi="Arial"/>
          <w:sz w:val="20"/>
          <w:szCs w:val="20"/>
          <w:b w:val="1"/>
          <w:bCs w:val="1"/>
          <w:color w:val="auto"/>
        </w:rPr>
        <w:t>Severance Benefits upon a Covered Termination (No Change in Control).</w:t>
      </w:r>
    </w:p>
    <w:p>
      <w:pPr>
        <w:spacing w:after="0" w:line="242" w:lineRule="exact"/>
        <w:rPr>
          <w:rFonts w:ascii="Arial" w:cs="Arial" w:eastAsia="Arial" w:hAnsi="Arial"/>
          <w:sz w:val="20"/>
          <w:szCs w:val="20"/>
          <w:b w:val="1"/>
          <w:bCs w:val="1"/>
          <w:color w:val="auto"/>
        </w:rPr>
      </w:pPr>
    </w:p>
    <w:p>
      <w:pPr>
        <w:jc w:val="both"/>
        <w:ind w:firstLine="1305"/>
        <w:spacing w:after="0" w:line="299" w:lineRule="auto"/>
        <w:tabs>
          <w:tab w:leader="none" w:pos="1856" w:val="left"/>
        </w:tabs>
        <w:numPr>
          <w:ilvl w:val="1"/>
          <w:numId w:val="138"/>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Executive’s employment is terminated by Company without Cause or due to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for Good Reason (each a “</w:t>
      </w:r>
      <w:r>
        <w:rPr>
          <w:rFonts w:ascii="Arial" w:cs="Arial" w:eastAsia="Arial" w:hAnsi="Arial"/>
          <w:sz w:val="18"/>
          <w:szCs w:val="18"/>
          <w:b w:val="1"/>
          <w:bCs w:val="1"/>
          <w:color w:val="auto"/>
        </w:rPr>
        <w:t>Covered Termination</w:t>
      </w:r>
      <w:r>
        <w:rPr>
          <w:rFonts w:ascii="Arial" w:cs="Arial" w:eastAsia="Arial" w:hAnsi="Arial"/>
          <w:sz w:val="18"/>
          <w:szCs w:val="18"/>
          <w:color w:val="auto"/>
        </w:rPr>
        <w:t>”), Executive shall be eligible to receive the following severance benefits: (1) payment of a severance amount equal to twenty-four (24) months of Executive’s Base Salary in effect immediately prior to the Separation Date (or, the level in effect prior to a reduction of Base Salary that constitutes Good Reason), less applicable payroll tax withholdings and deductions (the “</w:t>
      </w:r>
      <w:r>
        <w:rPr>
          <w:rFonts w:ascii="Arial" w:cs="Arial" w:eastAsia="Arial" w:hAnsi="Arial"/>
          <w:sz w:val="18"/>
          <w:szCs w:val="18"/>
          <w:b w:val="1"/>
          <w:bCs w:val="1"/>
          <w:color w:val="auto"/>
        </w:rPr>
        <w:t>Cash Severance</w:t>
      </w:r>
      <w:r>
        <w:rPr>
          <w:rFonts w:ascii="Arial" w:cs="Arial" w:eastAsia="Arial" w:hAnsi="Arial"/>
          <w:sz w:val="18"/>
          <w:szCs w:val="18"/>
          <w:color w:val="auto"/>
        </w:rPr>
        <w:t>”); (2) a lump sum cash payment equal to the full amount of Executive’s Bonus Target for the fiscal year in which the Separation Date occurs, less applicable employment tax withholdings and deductions (the “</w:t>
      </w:r>
      <w:r>
        <w:rPr>
          <w:rFonts w:ascii="Arial" w:cs="Arial" w:eastAsia="Arial" w:hAnsi="Arial"/>
          <w:sz w:val="18"/>
          <w:szCs w:val="18"/>
          <w:b w:val="1"/>
          <w:bCs w:val="1"/>
          <w:color w:val="auto"/>
        </w:rPr>
        <w:t>Full Target Bonus</w:t>
      </w:r>
      <w:r>
        <w:rPr>
          <w:rFonts w:ascii="Arial" w:cs="Arial" w:eastAsia="Arial" w:hAnsi="Arial"/>
          <w:sz w:val="18"/>
          <w:szCs w:val="18"/>
          <w:color w:val="auto"/>
        </w:rPr>
        <w:t>”); (3) Executive’s then-outstanding equity awards (the “</w:t>
      </w:r>
      <w:r>
        <w:rPr>
          <w:rFonts w:ascii="Arial" w:cs="Arial" w:eastAsia="Arial" w:hAnsi="Arial"/>
          <w:sz w:val="18"/>
          <w:szCs w:val="18"/>
          <w:b w:val="1"/>
          <w:bCs w:val="1"/>
          <w:color w:val="auto"/>
        </w:rPr>
        <w:t>Equity Awards</w:t>
      </w:r>
      <w:r>
        <w:rPr>
          <w:rFonts w:ascii="Arial" w:cs="Arial" w:eastAsia="Arial" w:hAnsi="Arial"/>
          <w:sz w:val="18"/>
          <w:szCs w:val="18"/>
          <w:color w:val="auto"/>
        </w:rPr>
        <w:t>”) that vest based on time will be accelerated with respect to the portion of such Equity Awards that would have become vested if Executive remained employed for twelve (12) months after the Separation Date, unless otherwise provided in any time-based Equity Award granted after the Effective Date; provided that, any time-based Equity Awards that are subject to “cliff” vesting, will be converted to monthly vesting, if necessary, in order to effect such vesting acceleration; and (4) the exercise period applicable to the Equity Awards will be extended until the later of (A) the first (1st) anniversary of the Separation Date; or (B)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the avoidance of doubt, the vesting of Executive’s performance-based Equity Awards that were granted under the Company’s Long-Term Performance Share Award Agreement will continue to be governed under the terms of such document. In addition, provided Executive timely elects to continue Executive’s group health insurance coverage after the Separation Date pursuant to the federal COBRA law or applicable state insurance laws such as Cal-COBRA (collectively, “</w:t>
      </w:r>
      <w:r>
        <w:rPr>
          <w:rFonts w:ascii="Arial" w:cs="Arial" w:eastAsia="Arial" w:hAnsi="Arial"/>
          <w:sz w:val="18"/>
          <w:szCs w:val="18"/>
          <w:b w:val="1"/>
          <w:bCs w:val="1"/>
          <w:color w:val="auto"/>
        </w:rPr>
        <w:t>COBRA</w:t>
      </w:r>
      <w:r>
        <w:rPr>
          <w:rFonts w:ascii="Arial" w:cs="Arial" w:eastAsia="Arial" w:hAnsi="Arial"/>
          <w:sz w:val="18"/>
          <w:szCs w:val="18"/>
          <w:color w:val="auto"/>
        </w:rPr>
        <w:t>”), and the terms of the governing health insurance policies, Company will reimburse the monthly COBRA health insurance premiums (the “</w:t>
      </w:r>
      <w:r>
        <w:rPr>
          <w:rFonts w:ascii="Arial" w:cs="Arial" w:eastAsia="Arial" w:hAnsi="Arial"/>
          <w:sz w:val="18"/>
          <w:szCs w:val="18"/>
          <w:b w:val="1"/>
          <w:bCs w:val="1"/>
          <w:color w:val="auto"/>
        </w:rPr>
        <w:t>COBRA Payments</w:t>
      </w:r>
      <w:r>
        <w:rPr>
          <w:rFonts w:ascii="Arial" w:cs="Arial" w:eastAsia="Arial" w:hAnsi="Arial"/>
          <w:sz w:val="18"/>
          <w:szCs w:val="18"/>
          <w:color w:val="auto"/>
        </w:rPr>
        <w:t>”) Executive pays to continue Executive’s health insurance coverage (including dependent coverage) for twenty-four (24) months after the Separation Date, or until such earlier date as Executive either becomes eligible for group health insurance coverage through a new employer or ceases to be eligible for COBRA coverage (the “</w:t>
      </w:r>
      <w:r>
        <w:rPr>
          <w:rFonts w:ascii="Arial" w:cs="Arial" w:eastAsia="Arial" w:hAnsi="Arial"/>
          <w:sz w:val="18"/>
          <w:szCs w:val="18"/>
          <w:b w:val="1"/>
          <w:bCs w:val="1"/>
          <w:color w:val="auto"/>
        </w:rPr>
        <w:t>COBRA Payment Period</w:t>
      </w:r>
      <w:r>
        <w:rPr>
          <w:rFonts w:ascii="Arial" w:cs="Arial" w:eastAsia="Arial" w:hAnsi="Arial"/>
          <w:sz w:val="18"/>
          <w:szCs w:val="18"/>
          <w:color w:val="auto"/>
        </w:rPr>
        <w:t>”). Executive must submit to the Company appropriate documentation of the foregoing health insurance payments, within sixty (60) days of making such payments, in order to be reimbursed. Notwithstanding the foregoing, if Company determines, in its sole discretion, that it cannot pay the COBRA Payments without a substantial risk of violating applicable law (including, without limitation, Section 2716 of the Public Health Service Act), at the end of each remaining month of the COBRA Payment Period, Company shall pay Executive directly a taxable monthly amount which, after taxes, equals the COBRA Payment amount Company would have otherwise paid to Executive (assuming a 35% tax rate). Executive agrees to promptly notify Company in writing if Executive becomes eligible for group health insurance coverage through a new employer before the end of the specified reimbursement period. (All severance benefits provided in this entire subsection 8(f)(i) are referred to collectively as the “</w:t>
      </w:r>
      <w:r>
        <w:rPr>
          <w:rFonts w:ascii="Arial" w:cs="Arial" w:eastAsia="Arial" w:hAnsi="Arial"/>
          <w:sz w:val="18"/>
          <w:szCs w:val="18"/>
          <w:b w:val="1"/>
          <w:bCs w:val="1"/>
          <w:color w:val="auto"/>
        </w:rPr>
        <w:t>Severance Benefits.</w:t>
      </w:r>
      <w:r>
        <w:rPr>
          <w:rFonts w:ascii="Arial" w:cs="Arial" w:eastAsia="Arial" w:hAnsi="Arial"/>
          <w:sz w:val="18"/>
          <w:szCs w:val="18"/>
          <w:color w:val="auto"/>
        </w:rPr>
        <w:t>”)</w:t>
      </w:r>
    </w:p>
    <w:p>
      <w:pPr>
        <w:spacing w:after="0" w:line="179" w:lineRule="exact"/>
        <w:rPr>
          <w:rFonts w:ascii="Arial" w:cs="Arial" w:eastAsia="Arial" w:hAnsi="Arial"/>
          <w:sz w:val="19"/>
          <w:szCs w:val="19"/>
          <w:b w:val="1"/>
          <w:bCs w:val="1"/>
          <w:color w:val="auto"/>
        </w:rPr>
      </w:pPr>
    </w:p>
    <w:p>
      <w:pPr>
        <w:jc w:val="both"/>
        <w:ind w:firstLine="1305"/>
        <w:spacing w:after="0" w:line="268" w:lineRule="auto"/>
        <w:tabs>
          <w:tab w:leader="none" w:pos="1754" w:val="left"/>
        </w:tabs>
        <w:numPr>
          <w:ilvl w:val="1"/>
          <w:numId w:val="138"/>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Preconditions. </w:t>
      </w:r>
      <w:r>
        <w:rPr>
          <w:rFonts w:ascii="Arial" w:cs="Arial" w:eastAsia="Arial" w:hAnsi="Arial"/>
          <w:sz w:val="20"/>
          <w:szCs w:val="20"/>
          <w:color w:val="auto"/>
        </w:rPr>
        <w:t>As a precondition to receiving any Severance Benefits, Executive must (1) remain in compliance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continuing obligations Executive owes to Company, including those under this Agreement and Executive’s Confidential Information Agreement, and (2) within twenty-one (21)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131" w:name="page132"/>
    <w:bookmarkEnd w:id="131"/>
    <w:p>
      <w:pPr>
        <w:jc w:val="both"/>
        <w:spacing w:after="0" w:line="273" w:lineRule="auto"/>
        <w:rPr>
          <w:sz w:val="20"/>
          <w:szCs w:val="20"/>
          <w:color w:val="auto"/>
        </w:rPr>
      </w:pPr>
      <w:r>
        <w:rPr>
          <w:rFonts w:ascii="Arial" w:cs="Arial" w:eastAsia="Arial" w:hAnsi="Arial"/>
          <w:sz w:val="18"/>
          <w:szCs w:val="18"/>
          <w:color w:val="auto"/>
        </w:rPr>
        <w:t xml:space="preserve">days after the Separation Date (or forty-five (45) days after the Separation Date, in the event of a group reduction-in-force), Executive must sign and return to Company, a release of claims in substantially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Release</w:t>
      </w:r>
      <w:r>
        <w:rPr>
          <w:rFonts w:ascii="Arial" w:cs="Arial" w:eastAsia="Arial" w:hAnsi="Arial"/>
          <w:sz w:val="18"/>
          <w:szCs w:val="18"/>
          <w:color w:val="auto"/>
        </w:rPr>
        <w:t>”) (as modified, if necessary, to comply with legal requirements in the event of a group reduction-in-force) and allow the Release to become fully-effective and non-revocable by its terms. The Cash Severance will be paid in the form of continuing installments on Company’s ordinary payroll schedule, beginning on the first payroll date following the effective date of such Release. The Full Target Bonus will be paid on the next date on which bonuses are regularly scheduled to be paid, which in no event will be later than March 15 of the year following the year in which the Separation Date occurs. In the event the Release is not fully effective as of the next date on which bonuses are regularly scheduled to be paid, the Full Target Bonus will be paid within ten (10) business days following the effective date of such Release.</w:t>
      </w:r>
    </w:p>
    <w:p>
      <w:pPr>
        <w:spacing w:after="0" w:line="163" w:lineRule="exact"/>
        <w:rPr>
          <w:sz w:val="20"/>
          <w:szCs w:val="20"/>
          <w:color w:val="auto"/>
        </w:rPr>
      </w:pPr>
    </w:p>
    <w:p>
      <w:pPr>
        <w:jc w:val="both"/>
        <w:ind w:firstLine="656"/>
        <w:spacing w:after="0" w:line="274" w:lineRule="auto"/>
        <w:tabs>
          <w:tab w:leader="none" w:pos="1072"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Due to Death or Disability. </w:t>
      </w:r>
      <w:r>
        <w:rPr>
          <w:rFonts w:ascii="Arial" w:cs="Arial" w:eastAsia="Arial" w:hAnsi="Arial"/>
          <w:sz w:val="18"/>
          <w:szCs w:val="18"/>
          <w:color w:val="auto"/>
        </w:rPr>
        <w:t>Subject to applicable state or federal law, Executive’s employment with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terminate upon Executive’s death or Disability. For purposes of this Agreement, “</w:t>
      </w:r>
      <w:r>
        <w:rPr>
          <w:rFonts w:ascii="Arial" w:cs="Arial" w:eastAsia="Arial" w:hAnsi="Arial"/>
          <w:sz w:val="18"/>
          <w:szCs w:val="18"/>
          <w:b w:val="1"/>
          <w:bCs w:val="1"/>
          <w:color w:val="auto"/>
        </w:rPr>
        <w:t>Disability</w:t>
      </w:r>
      <w:r>
        <w:rPr>
          <w:rFonts w:ascii="Arial" w:cs="Arial" w:eastAsia="Arial" w:hAnsi="Arial"/>
          <w:sz w:val="18"/>
          <w:szCs w:val="18"/>
          <w:color w:val="auto"/>
        </w:rPr>
        <w:t>” means a physical or mental condition or disability which prevents Executive from performing Executive’s job responsibilities for more than six (6) months in any twelve</w:t>
      </w:r>
    </w:p>
    <w:p>
      <w:pPr>
        <w:spacing w:after="0" w:line="1" w:lineRule="exact"/>
        <w:rPr>
          <w:rFonts w:ascii="Arial" w:cs="Arial" w:eastAsia="Arial" w:hAnsi="Arial"/>
          <w:sz w:val="18"/>
          <w:szCs w:val="18"/>
          <w:b w:val="1"/>
          <w:bCs w:val="1"/>
          <w:color w:val="auto"/>
        </w:rPr>
      </w:pPr>
    </w:p>
    <w:p>
      <w:pPr>
        <w:jc w:val="both"/>
        <w:ind w:firstLine="8"/>
        <w:spacing w:after="0" w:line="304" w:lineRule="auto"/>
        <w:tabs>
          <w:tab w:leader="none" w:pos="41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month period, or for more than four (4) consecutive months. If Executive’s employment is terminated due to Executive’s death or Disability, in addition to any benefits under Company’s standard life and disability insurance policies, Executive (or Executive’s designated beneficiaries or estate) shall be eligible to receive the following severance benefits: (i) a lump sum payment equal to the amount of Executive’s Bonus Target for the fiscal year in which the Separation Date occurs, prorated based on the Separation Date and less applicable employment tax withholdings and deductions; (ii) accelerated vesting of Executive’s performance-based Equity Awards, prorated as set forth in the applicable Equity Award agreements (i.e., for any long-term performance share awards, a pro rata portion of those performance shares which have not completed their performance cycle, based on the portion of the performance cycle completed as of the Separation Date and based on the actual performance at the end of such performance cycle); (iii) monthly prorated accelerated vesting of Executive’s time-based Equity Awards; and (iv) the exercise period applicable to the Equity Awards will be extended until the later of (1) the first (1st) anniversary of the Separation Date; or (2)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sake of reference, all severance benefits provided in this entire subsection 8(g) are referred to collectively as the “</w:t>
      </w:r>
      <w:r>
        <w:rPr>
          <w:rFonts w:ascii="Arial" w:cs="Arial" w:eastAsia="Arial" w:hAnsi="Arial"/>
          <w:sz w:val="16"/>
          <w:szCs w:val="16"/>
          <w:b w:val="1"/>
          <w:bCs w:val="1"/>
          <w:color w:val="auto"/>
        </w:rPr>
        <w:t>Death or Disability Severance Benefits</w:t>
      </w:r>
      <w:r>
        <w:rPr>
          <w:rFonts w:ascii="Arial" w:cs="Arial" w:eastAsia="Arial" w:hAnsi="Arial"/>
          <w:sz w:val="16"/>
          <w:szCs w:val="16"/>
          <w:color w:val="auto"/>
        </w:rPr>
        <w:t>”). The Death and Disability Severance Benefits shall be paid subject to the same preconditions and on the same terms and conditions applicable to the Severance Benefits, as set forth in Section 8(f)(ii) (Preconditions).</w:t>
      </w:r>
    </w:p>
    <w:p>
      <w:pPr>
        <w:spacing w:after="0" w:line="379"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 BENEFITS.</w:t>
      </w:r>
    </w:p>
    <w:p>
      <w:pPr>
        <w:spacing w:after="0" w:line="215" w:lineRule="exact"/>
        <w:rPr>
          <w:rFonts w:ascii="Arial" w:cs="Arial" w:eastAsia="Arial" w:hAnsi="Arial"/>
          <w:sz w:val="20"/>
          <w:szCs w:val="20"/>
          <w:b w:val="1"/>
          <w:bCs w:val="1"/>
          <w:color w:val="auto"/>
        </w:rPr>
      </w:pPr>
    </w:p>
    <w:p>
      <w:pPr>
        <w:jc w:val="both"/>
        <w:ind w:firstLine="656"/>
        <w:spacing w:after="0" w:line="272" w:lineRule="auto"/>
        <w:tabs>
          <w:tab w:leader="none" w:pos="1099" w:val="left"/>
        </w:tabs>
        <w:numPr>
          <w:ilvl w:val="1"/>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Termination. </w:t>
      </w:r>
      <w:r>
        <w:rPr>
          <w:rFonts w:ascii="Arial" w:cs="Arial" w:eastAsia="Arial" w:hAnsi="Arial"/>
          <w:sz w:val="18"/>
          <w:szCs w:val="18"/>
          <w:color w:val="auto"/>
        </w:rPr>
        <w:t>If Executive’s employment with Company is terminated by Company without Cause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Executive’s death or Disability) or Executive resigns for Good Reason, and such termination or resignation occurs within the period beginning three (3) months before and ending twelve (12) months after a Change in Control (defined below) (each a “</w:t>
      </w:r>
      <w:r>
        <w:rPr>
          <w:rFonts w:ascii="Arial" w:cs="Arial" w:eastAsia="Arial" w:hAnsi="Arial"/>
          <w:sz w:val="18"/>
          <w:szCs w:val="18"/>
          <w:b w:val="1"/>
          <w:bCs w:val="1"/>
          <w:color w:val="auto"/>
        </w:rPr>
        <w:t>CIC Termination</w:t>
      </w:r>
      <w:r>
        <w:rPr>
          <w:rFonts w:ascii="Arial" w:cs="Arial" w:eastAsia="Arial" w:hAnsi="Arial"/>
          <w:sz w:val="18"/>
          <w:szCs w:val="18"/>
          <w:color w:val="auto"/>
        </w:rPr>
        <w:t>”), Executive shall be eligible to receive the following enhanced severance package (in lieu of the Severance Benefits described above): (i) payment of thirty-six (36) months of Executive’s Base Salary as in effect immediately prior to the Separation Date (or, the level in effect prior to a reduction of Base Salary that constitutes Good Reason), less applicable withholdings and deductions; (ii) a lump sum cash payment equal to the Full Target Bonus; (iii) accelerated vesting of Executive’s Equity Awards so that Executive becomes one hundred percent (100%) vested in all such Equity Awards, with the Equity Awards that vest based on performance being accelerated to the “target” level of achievement; and (iv) the exercise period applicable to the Equity Awards will be extended until the later of (1)the first (1st) anniversary of the Separation Date; or (2) the date provided in the applicable Equity Award agreement, but in no case longer than the expiration of the stated term of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132" w:name="page133"/>
    <w:bookmarkEnd w:id="132"/>
    <w:p>
      <w:pPr>
        <w:jc w:val="both"/>
        <w:spacing w:after="0" w:line="242" w:lineRule="auto"/>
        <w:rPr>
          <w:sz w:val="20"/>
          <w:szCs w:val="20"/>
          <w:color w:val="auto"/>
        </w:rPr>
      </w:pPr>
      <w:r>
        <w:rPr>
          <w:rFonts w:ascii="Arial" w:cs="Arial" w:eastAsia="Arial" w:hAnsi="Arial"/>
          <w:sz w:val="20"/>
          <w:szCs w:val="20"/>
          <w:color w:val="auto"/>
        </w:rPr>
        <w:t>Equity Award. Except for the foregoing accelerated vesting and extended exercise benefits, all existing terms and conditions applicable to the Equity Awards shall remain in full force and effect. In addition, provided Executive timely elects to continue Executive’s group health insurance coverage after the Separation Date pursuant to COBRA, and the terms of the governing health insurance policies, Company will reimburse all monthly COBRA health insurance premiums Executive pays to continue Executive’s health insurance coverage (including dependent coverage) for thirty-six (36) months after the Separation Date or until such earlier date as Executive either becomes eligible for group health insurance coverage through a new employer or Executive ceases to be eligible for COBRA coverage. (All severance benefits provided in this subsection 9(a) shall be referred to collectively as the “</w:t>
      </w:r>
      <w:r>
        <w:rPr>
          <w:rFonts w:ascii="Arial" w:cs="Arial" w:eastAsia="Arial" w:hAnsi="Arial"/>
          <w:sz w:val="20"/>
          <w:szCs w:val="20"/>
          <w:b w:val="1"/>
          <w:bCs w:val="1"/>
          <w:color w:val="auto"/>
        </w:rPr>
        <w:t>CIC Severance Benefits.</w:t>
      </w:r>
      <w:r>
        <w:rPr>
          <w:rFonts w:ascii="Arial" w:cs="Arial" w:eastAsia="Arial" w:hAnsi="Arial"/>
          <w:sz w:val="20"/>
          <w:szCs w:val="20"/>
          <w:color w:val="auto"/>
        </w:rPr>
        <w:t>”) The CIC Severance Benefits shall be paid subject to the same preconditions and on the same terms and conditions applicable to the Severance Benefits, as set forth in Section 8(f)(ii) (Preconditions).</w:t>
      </w:r>
    </w:p>
    <w:p>
      <w:pPr>
        <w:spacing w:after="0" w:line="189" w:lineRule="exact"/>
        <w:rPr>
          <w:sz w:val="20"/>
          <w:szCs w:val="20"/>
          <w:color w:val="auto"/>
        </w:rPr>
      </w:pPr>
    </w:p>
    <w:p>
      <w:pPr>
        <w:jc w:val="both"/>
        <w:ind w:firstLine="656"/>
        <w:spacing w:after="0" w:line="270" w:lineRule="auto"/>
        <w:tabs>
          <w:tab w:leader="none" w:pos="1138" w:val="left"/>
        </w:tabs>
        <w:numPr>
          <w:ilvl w:val="1"/>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 of Change in Control. </w:t>
      </w: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(i) the acquisition by any individual, entity or group (a “</w:t>
      </w:r>
      <w:r>
        <w:rPr>
          <w:rFonts w:ascii="Arial" w:cs="Arial" w:eastAsia="Arial" w:hAnsi="Arial"/>
          <w:sz w:val="18"/>
          <w:szCs w:val="18"/>
          <w:b w:val="1"/>
          <w:bCs w:val="1"/>
          <w:color w:val="auto"/>
        </w:rPr>
        <w:t>Person”</w:t>
      </w:r>
      <w:r>
        <w:rPr>
          <w:rFonts w:ascii="Arial" w:cs="Arial" w:eastAsia="Arial" w:hAnsi="Arial"/>
          <w:sz w:val="18"/>
          <w:szCs w:val="18"/>
          <w:color w:val="auto"/>
        </w:rPr>
        <w:t>), within the meaning of Section 13(d)(3) or 14(d)(2) of the Securities and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of beneficial ownership (within the meaning of Rule 13d-3 promulgated under the Exchange Act) of 50% or more of the combined voting power of the then outstanding securities of Company entitled to vote generally in the election of directors (“</w:t>
      </w:r>
      <w:r>
        <w:rPr>
          <w:rFonts w:ascii="Arial" w:cs="Arial" w:eastAsia="Arial" w:hAnsi="Arial"/>
          <w:sz w:val="18"/>
          <w:szCs w:val="18"/>
          <w:b w:val="1"/>
          <w:bCs w:val="1"/>
          <w:color w:val="auto"/>
        </w:rPr>
        <w:t>Voting Stock</w:t>
      </w:r>
      <w:r>
        <w:rPr>
          <w:rFonts w:ascii="Arial" w:cs="Arial" w:eastAsia="Arial" w:hAnsi="Arial"/>
          <w:sz w:val="18"/>
          <w:szCs w:val="18"/>
          <w:color w:val="auto"/>
        </w:rPr>
        <w:t>”); or (ii) consummation of a reorganization, merger or consolidation, a sale or other disposition of all or substantially all of the assets of Company, or other transaction ( each, a “</w:t>
      </w:r>
      <w:r>
        <w:rPr>
          <w:rFonts w:ascii="Arial" w:cs="Arial" w:eastAsia="Arial" w:hAnsi="Arial"/>
          <w:sz w:val="18"/>
          <w:szCs w:val="18"/>
          <w:b w:val="1"/>
          <w:bCs w:val="1"/>
          <w:color w:val="auto"/>
        </w:rPr>
        <w:t>Business Combination</w:t>
      </w:r>
      <w:r>
        <w:rPr>
          <w:rFonts w:ascii="Arial" w:cs="Arial" w:eastAsia="Arial" w:hAnsi="Arial"/>
          <w:sz w:val="18"/>
          <w:szCs w:val="18"/>
          <w:color w:val="auto"/>
        </w:rPr>
        <w:t>”), unless, in each case, immediately following such Business Combination, (A) all or substantially all of the individuals and entities who were the beneficial owners of Voting Stock of Company immediately prior to such Business Combination beneficially own, directly or indirectly, more than 50% of the combined voting power of the then outstanding shares of Voting Stock of the entity resulting from such Business Combination (including, without limitation, an entity which as a result of such transaction owns Company or all or substantially all of Company's assets either directly or through one or more subsidiaries) in substantially the same proportions relative to each other as their ownership, immediately prior to such Business Combination, of the Voting Stock of Company; and (B) no Person beneficially owns, directly or indirectly, 50% or more of the combined voting power of the then outstanding shares of Voting Stock of the entity resulting from such Business Combination.</w:t>
      </w:r>
    </w:p>
    <w:p>
      <w:pPr>
        <w:spacing w:after="0" w:line="173" w:lineRule="exact"/>
        <w:rPr>
          <w:rFonts w:ascii="Arial" w:cs="Arial" w:eastAsia="Arial" w:hAnsi="Arial"/>
          <w:sz w:val="18"/>
          <w:szCs w:val="18"/>
          <w:b w:val="1"/>
          <w:bCs w:val="1"/>
          <w:color w:val="auto"/>
        </w:rPr>
      </w:pPr>
    </w:p>
    <w:p>
      <w:pPr>
        <w:jc w:val="both"/>
        <w:ind w:firstLine="656"/>
        <w:spacing w:after="0" w:line="266" w:lineRule="auto"/>
        <w:tabs>
          <w:tab w:leader="none" w:pos="1061" w:val="left"/>
        </w:tabs>
        <w:numPr>
          <w:ilvl w:val="1"/>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Prior CIC Benefits. </w:t>
      </w:r>
      <w:r>
        <w:rPr>
          <w:rFonts w:ascii="Arial" w:cs="Arial" w:eastAsia="Arial" w:hAnsi="Arial"/>
          <w:sz w:val="19"/>
          <w:szCs w:val="19"/>
          <w:color w:val="auto"/>
        </w:rPr>
        <w:t>The Parties hereby acknowledge and agree that: (i) this Agreement supersedes in its entirety any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plan, or portion thereof pursuant to which Executive is or was entitled to any benefits in the event of a change in control, such that the Parties’ rights and obligations under any such prior agreement, plan, or portion thereof are null and void as of the Effective Date; and (ii) the CIC Benefits are the sole benefits to which Executive shall be entitled in the event of a CIC Termination.</w:t>
      </w:r>
    </w:p>
    <w:p>
      <w:pPr>
        <w:spacing w:after="0" w:line="165" w:lineRule="exact"/>
        <w:rPr>
          <w:rFonts w:ascii="Arial" w:cs="Arial" w:eastAsia="Arial" w:hAnsi="Arial"/>
          <w:sz w:val="19"/>
          <w:szCs w:val="19"/>
          <w:b w:val="1"/>
          <w:bCs w:val="1"/>
          <w:color w:val="auto"/>
        </w:rPr>
      </w:pPr>
    </w:p>
    <w:p>
      <w:pPr>
        <w:jc w:val="both"/>
        <w:ind w:firstLine="8"/>
        <w:spacing w:after="0" w:line="280" w:lineRule="auto"/>
        <w:tabs>
          <w:tab w:leader="none" w:pos="522"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SECTION 409A COMPLIANCE. </w:t>
      </w:r>
      <w:r>
        <w:rPr>
          <w:rFonts w:ascii="Arial" w:cs="Arial" w:eastAsia="Arial" w:hAnsi="Arial"/>
          <w:sz w:val="18"/>
          <w:szCs w:val="18"/>
          <w:color w:val="auto"/>
        </w:rPr>
        <w:t>Notwithstanding anything set forth in this Agreement to the contrary, any payments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provided pursuant to this Agreement which constitute “deferred compensation” within the meaning of the Treasury Regulations issued pursuant to Section 409A of the Internal Revenue Code (the “</w:t>
      </w:r>
      <w:r>
        <w:rPr>
          <w:rFonts w:ascii="Arial" w:cs="Arial" w:eastAsia="Arial" w:hAnsi="Arial"/>
          <w:sz w:val="18"/>
          <w:szCs w:val="18"/>
          <w:b w:val="1"/>
          <w:bCs w:val="1"/>
          <w:color w:val="auto"/>
        </w:rPr>
        <w:t>Code</w:t>
      </w:r>
      <w:r>
        <w:rPr>
          <w:rFonts w:ascii="Arial" w:cs="Arial" w:eastAsia="Arial" w:hAnsi="Arial"/>
          <w:sz w:val="18"/>
          <w:szCs w:val="18"/>
          <w:color w:val="auto"/>
        </w:rPr>
        <w:t>”) shall not commence until Executive has incurred a “separation from service” (as such term is defined in the Treasury Regulation Section 1.409A-1(h) (“</w:t>
      </w:r>
      <w:r>
        <w:rPr>
          <w:rFonts w:ascii="Arial" w:cs="Arial" w:eastAsia="Arial" w:hAnsi="Arial"/>
          <w:sz w:val="18"/>
          <w:szCs w:val="18"/>
          <w:b w:val="1"/>
          <w:bCs w:val="1"/>
          <w:color w:val="auto"/>
        </w:rPr>
        <w:t>Separation From Service</w:t>
      </w:r>
      <w:r>
        <w:rPr>
          <w:rFonts w:ascii="Arial" w:cs="Arial" w:eastAsia="Arial" w:hAnsi="Arial"/>
          <w:sz w:val="18"/>
          <w:szCs w:val="18"/>
          <w:color w:val="auto"/>
        </w:rPr>
        <w:t>”), unless Company reasonably determines that such amounts may be provided to Executive without causing Executive to incur the additional 20% tax under Section 409A.</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the avoidance of doubt, it is intended that the payments and benefits set forth in this Agreement satisfy, to the greatest extent possible, the exemptions from the application of Section 409A provided under Treasury Regulation Sections 1.409A-1(b)(4), 1.409A-1(b)(5) and 1.409A-1(b)(9) and this Agreement will be construed to the greatest extent possible as consistent with those provisions. To the extent not so exempt, this Agreement (and any definitions hereunder) will be construed in a manner that complies with Section 409A and incorporates by reference all required definitions and payment terms. For purposes of Section 409A (including, without limitation, for purposes of Treasury Regulation Section 1.409A 2(b)(2)(iii)),</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133" w:name="page134"/>
    <w:bookmarkEnd w:id="133"/>
    <w:p>
      <w:pPr>
        <w:jc w:val="both"/>
        <w:spacing w:after="0" w:line="270" w:lineRule="auto"/>
        <w:rPr>
          <w:sz w:val="20"/>
          <w:szCs w:val="20"/>
          <w:color w:val="auto"/>
        </w:rPr>
      </w:pPr>
      <w:r>
        <w:rPr>
          <w:rFonts w:ascii="Arial" w:cs="Arial" w:eastAsia="Arial" w:hAnsi="Arial"/>
          <w:sz w:val="18"/>
          <w:szCs w:val="18"/>
          <w:color w:val="auto"/>
        </w:rPr>
        <w:t>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Company (or, if applicable, the successor entity thereto) determines that any payments upon Executive’s Separation From Service set forth herein and/or under any other agreement with Company constitute “deferred compensation” under Section 409A and Executive is, on Executive’s Separation From Service, a “specified employee” of Company or any successor entity thereto, as such term is defined in Section 409A(a)(2)(B)(i) of the Code, then, solely, to the extent necessary to avoid the incurrence of the adverse personal tax consequences under Section 409A, the timing of the payments upon Executive’s Separation From Service shall be delayed until the earlier to occur of: (a) the date that is six months and one day after Executive’s Separation From Service or (b) the date of Executive’s death (such applicable date, the “</w:t>
      </w:r>
      <w:r>
        <w:rPr>
          <w:rFonts w:ascii="Arial" w:cs="Arial" w:eastAsia="Arial" w:hAnsi="Arial"/>
          <w:sz w:val="18"/>
          <w:szCs w:val="18"/>
          <w:b w:val="1"/>
          <w:bCs w:val="1"/>
          <w:color w:val="auto"/>
        </w:rPr>
        <w:t>Specified Employee Initial Payment Date</w:t>
      </w:r>
      <w:r>
        <w:rPr>
          <w:rFonts w:ascii="Arial" w:cs="Arial" w:eastAsia="Arial" w:hAnsi="Arial"/>
          <w:sz w:val="18"/>
          <w:szCs w:val="18"/>
          <w:color w:val="auto"/>
        </w:rPr>
        <w:t>”). On the Specified Employee Initial Payment Date, Company (or the successor entity thereto, as applicable) shall (A) pay to Executive a lump sum amount equal to the sum of the payments upon Executive’s Separation From Service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None of the severance benefits under this Agreement will commence or otherwise be delivered prior to the effective date of the Release. Except to the minimum extent that payments must be delayed because Executive is a “specified employee” (as described above) or until the effectiveness of the Release, all amounts will be paid as soon as practicable in accordance with Company’s normal payroll practices and no interest will be due on any amounts so deferred.</w:t>
      </w:r>
    </w:p>
    <w:p>
      <w:pPr>
        <w:spacing w:after="0" w:line="186" w:lineRule="exact"/>
        <w:rPr>
          <w:sz w:val="20"/>
          <w:szCs w:val="20"/>
          <w:color w:val="auto"/>
        </w:rPr>
      </w:pPr>
    </w:p>
    <w:p>
      <w:pPr>
        <w:jc w:val="both"/>
        <w:ind w:firstLine="8"/>
        <w:spacing w:after="0" w:line="255" w:lineRule="auto"/>
        <w:tabs>
          <w:tab w:leader="none" w:pos="497" w:val="left"/>
        </w:tabs>
        <w:numPr>
          <w:ilvl w:val="0"/>
          <w:numId w:val="1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BETTER AFTER TAX PROVISION. </w:t>
      </w:r>
      <w:r>
        <w:rPr>
          <w:rFonts w:ascii="Arial" w:cs="Arial" w:eastAsia="Arial" w:hAnsi="Arial"/>
          <w:sz w:val="19"/>
          <w:szCs w:val="19"/>
          <w:color w:val="auto"/>
        </w:rPr>
        <w:t>If any payment or benefit that Executive will or may receive from Company or otherwise (a</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280G 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any such 280G Payment will be equal to the Reduced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will be either (x) the largest portion of the 280G Payment that would result in no portion of the 280G Payment (after reduction) being subject to the Excise Tax, or (y) the largest portion, up to and including the total, of the 280G Payment, whichever amount (</w:t>
      </w:r>
      <w:r>
        <w:rPr>
          <w:rFonts w:ascii="Arial" w:cs="Arial" w:eastAsia="Arial" w:hAnsi="Arial"/>
          <w:sz w:val="19"/>
          <w:szCs w:val="19"/>
          <w:i w:val="1"/>
          <w:iCs w:val="1"/>
          <w:color w:val="auto"/>
        </w:rPr>
        <w:t>i.e</w:t>
      </w:r>
      <w:r>
        <w:rPr>
          <w:rFonts w:ascii="Arial" w:cs="Arial" w:eastAsia="Arial" w:hAnsi="Arial"/>
          <w:sz w:val="19"/>
          <w:szCs w:val="19"/>
          <w:color w:val="auto"/>
        </w:rPr>
        <w:t>.,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280G Payment may be subject to the Excise Tax. If a reduction in a 280G Payment is required pursuant to the preceding sentence and the Reduced Amount is determined pursuant to clause (x) of the preceding sentence, the reduction will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b w:val="1"/>
          <w:bCs w:val="1"/>
          <w:color w:val="auto"/>
        </w:rPr>
        <w:t>Pro Rata Reduction Method</w:t>
      </w:r>
      <w:r>
        <w:rPr>
          <w:rFonts w:ascii="Arial" w:cs="Arial" w:eastAsia="Arial" w:hAnsi="Arial"/>
          <w:sz w:val="19"/>
          <w:szCs w:val="19"/>
          <w:color w:val="auto"/>
        </w:rPr>
        <w:t>”).</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Notwithstanding the foregoing, if the Reduction Method or the Pro Rata Reduction Method would result in any portion of the 280G Payment being subject to taxes pursuant to Section 409A of the Code that would not otherwise be subject to taxes pursuant to Section 409A of the Code, then the Reduction Method and/or the Pro Rata Reduction Method, as the case may be, will be modified so as to avoid the imposition of taxes pursuant to Section 409A of the Code as follows: (A) as a first priority, the modification will preserve to the greatest extent possible, the greatest economic benefit for Executive as determined on an after-tax basis; (B) as a second priority, 280G Payments that are contingent on future events (</w:t>
      </w:r>
      <w:r>
        <w:rPr>
          <w:rFonts w:ascii="Arial" w:cs="Arial" w:eastAsia="Arial" w:hAnsi="Arial"/>
          <w:sz w:val="18"/>
          <w:szCs w:val="18"/>
          <w:i w:val="1"/>
          <w:iCs w:val="1"/>
          <w:color w:val="auto"/>
        </w:rPr>
        <w:t>e.g</w:t>
      </w:r>
      <w:r>
        <w:rPr>
          <w:rFonts w:ascii="Arial" w:cs="Arial" w:eastAsia="Arial" w:hAnsi="Arial"/>
          <w:sz w:val="18"/>
          <w:szCs w:val="18"/>
          <w:color w:val="auto"/>
        </w:rPr>
        <w:t>., being terminated without Cause), will be reduced (or eliminated) before 280G Payments that are not contingent on future events; and (C) as a third priority, 280G Payments that are “deferred compensation” within the meaning of Section 409A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134" w:name="page135"/>
    <w:bookmarkEnd w:id="134"/>
    <w:p>
      <w:pPr>
        <w:jc w:val="both"/>
        <w:ind w:right="20"/>
        <w:spacing w:after="0" w:line="260" w:lineRule="auto"/>
        <w:rPr>
          <w:sz w:val="20"/>
          <w:szCs w:val="20"/>
          <w:color w:val="auto"/>
        </w:rPr>
      </w:pPr>
      <w:r>
        <w:rPr>
          <w:rFonts w:ascii="Arial" w:cs="Arial" w:eastAsia="Arial" w:hAnsi="Arial"/>
          <w:sz w:val="20"/>
          <w:szCs w:val="20"/>
          <w:color w:val="auto"/>
        </w:rPr>
        <w:t>of the Code will be reduced (or eliminated) before 280G Payments that are not “deferred compensation” within the meaning of Section 409A of the Code.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Section 280G of the Code is not applicable by law to Executive, Company will determine whether any similar law in Executive’s jurisdiction applies and should be taken into account.</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independent professional firm engaged by Company for general tax audit purposes as of the day prior to the effective date of the Change in Control will make all determinations required to be made under this Section. If the firm so engaged by Company is serving as accountant or auditor for the individual, entity or group effecting the Change in Control, Company will appoint a nationally recognized independent professional firm to make the determinations required hereunder. Company will bear all expenses with respect to the determinations by such firm required to be made hereunder. Company will use commercially reasonable efforts to cause the firm engaged to make the determinations hereunder to provide its calculations, together with detailed supporting documentation, to Company and Executive within thirty (30) calendar days after the date on which Executive’s right to a 280G Payment becomes reasonably likely to occur (if requested at that time by Company or Executive) or such other time as requested by Company or Executive.</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Executive receives a 280G Payment for which the Reduced Amount was determined pursuant to clause (x) of the first paragraph of this Section and the Internal Revenue Service determines thereafter that some portion of the 280G Payment is subject to the Excise Tax, Executive will promptly return to Company a sufficient amount of the 280G Payment (after reduction pursuant to clause (x) of the first paragraph of this Section) so that no portion of the remaining 280G Payment is subject to the Excise Tax. For the avoidance of doubt, if the Reduced Amount was determined pursuant to clause (y) of the first paragraph of this Section, Executive will have no obligation to return any portion of the 280G Payment pursuant to the preceding sentence.</w:t>
      </w:r>
    </w:p>
    <w:p>
      <w:pPr>
        <w:spacing w:after="0" w:line="191" w:lineRule="exact"/>
        <w:rPr>
          <w:sz w:val="20"/>
          <w:szCs w:val="20"/>
          <w:color w:val="auto"/>
        </w:rPr>
      </w:pPr>
    </w:p>
    <w:p>
      <w:pPr>
        <w:ind w:left="440" w:hanging="432"/>
        <w:spacing w:after="0"/>
        <w:tabs>
          <w:tab w:leader="none" w:pos="44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5" w:lineRule="exact"/>
        <w:rPr>
          <w:rFonts w:ascii="Arial" w:cs="Arial" w:eastAsia="Arial" w:hAnsi="Arial"/>
          <w:sz w:val="20"/>
          <w:szCs w:val="20"/>
          <w:b w:val="1"/>
          <w:bCs w:val="1"/>
          <w:color w:val="auto"/>
        </w:rPr>
      </w:pPr>
    </w:p>
    <w:p>
      <w:pPr>
        <w:jc w:val="both"/>
        <w:ind w:firstLine="656"/>
        <w:spacing w:after="0" w:line="273" w:lineRule="auto"/>
        <w:tabs>
          <w:tab w:leader="none" w:pos="1126"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Executive shall be responsible for the payment of any taxes due on any and all compensation, stock option, or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Company pursuant to this Agreement which are not withheld by Company. Executive agrees to indemnify and hold harmless Company from any and all claims or penalties asserted against Company arising from Executive’s failure to pay taxes due on any compensation, stock option, or benefit provided by Company pursuant to this Agreement. Executive expressly acknowledges that Company has not made any representation about the tax consequences of any consideration, including any extended exercise period, provided by Company to Executive pursuant to this Agreement; and that Company has advised Executive to seek independent tax advice with respect to any tax matters related to this Agreement. Executive understands and acknowledges that, pursuant to the tax rules governing incentive stock options, any extension of the exercise period applicable to incentive stock options held by Executive may immediately cause such options to cease to qualify as incentive stock options and by executing this Agreement, Executive agrees to such treatment.</w:t>
      </w:r>
    </w:p>
    <w:p>
      <w:pPr>
        <w:spacing w:after="0" w:line="163" w:lineRule="exact"/>
        <w:rPr>
          <w:rFonts w:ascii="Arial" w:cs="Arial" w:eastAsia="Arial" w:hAnsi="Arial"/>
          <w:sz w:val="18"/>
          <w:szCs w:val="18"/>
          <w:b w:val="1"/>
          <w:bCs w:val="1"/>
          <w:color w:val="auto"/>
        </w:rPr>
      </w:pPr>
    </w:p>
    <w:p>
      <w:pPr>
        <w:jc w:val="both"/>
        <w:ind w:firstLine="656"/>
        <w:spacing w:after="0" w:line="262" w:lineRule="auto"/>
        <w:tabs>
          <w:tab w:leader="none" w:pos="1084" w:val="left"/>
        </w:tabs>
        <w:numPr>
          <w:ilvl w:val="1"/>
          <w:numId w:val="1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Modification/Waiver. </w:t>
      </w:r>
      <w:r>
        <w:rPr>
          <w:rFonts w:ascii="Arial" w:cs="Arial" w:eastAsia="Arial" w:hAnsi="Arial"/>
          <w:sz w:val="19"/>
          <w:szCs w:val="19"/>
          <w:color w:val="auto"/>
        </w:rPr>
        <w:t>This Agreement may not be amended, modified, superseded, canceled, renewed or extended, or any terms</w:t>
      </w:r>
      <w:r>
        <w:rPr>
          <w:rFonts w:ascii="Arial" w:cs="Arial" w:eastAsia="Arial" w:hAnsi="Arial"/>
          <w:sz w:val="19"/>
          <w:szCs w:val="19"/>
          <w:b w:val="1"/>
          <w:bCs w:val="1"/>
          <w:color w:val="auto"/>
        </w:rPr>
        <w:t xml:space="preserve"> </w:t>
      </w:r>
      <w:r>
        <w:rPr>
          <w:rFonts w:ascii="Arial" w:cs="Arial" w:eastAsia="Arial" w:hAnsi="Arial"/>
          <w:sz w:val="19"/>
          <w:szCs w:val="19"/>
          <w:color w:val="auto"/>
        </w:rPr>
        <w:t>or covenants hereof waived, except by a writing executed by Executive and for Company by a duly authorized Board member; or, in the case of a waiver, by the Party waiving compliance. Failure of any Party at any time to require performance of any provision hereof shall not affect the Party’s right at a later time to enforce such provision. No waiver by a Party of a breach of this Agreement shall be deemed to be a waiver of any other breach of any term or condition contained in the Agreement.</w:t>
      </w:r>
    </w:p>
    <w:p>
      <w:pPr>
        <w:spacing w:after="0" w:line="171" w:lineRule="exact"/>
        <w:rPr>
          <w:rFonts w:ascii="Arial" w:cs="Arial" w:eastAsia="Arial" w:hAnsi="Arial"/>
          <w:sz w:val="19"/>
          <w:szCs w:val="19"/>
          <w:b w:val="1"/>
          <w:bCs w:val="1"/>
          <w:color w:val="auto"/>
        </w:rPr>
      </w:pPr>
    </w:p>
    <w:p>
      <w:pPr>
        <w:jc w:val="both"/>
        <w:ind w:firstLine="656"/>
        <w:spacing w:after="0" w:line="253" w:lineRule="auto"/>
        <w:tabs>
          <w:tab w:leader="none" w:pos="1088" w:val="left"/>
        </w:tabs>
        <w:numPr>
          <w:ilvl w:val="1"/>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Successors and Assigns. </w:t>
      </w:r>
      <w:r>
        <w:rPr>
          <w:rFonts w:ascii="Arial" w:cs="Arial" w:eastAsia="Arial" w:hAnsi="Arial"/>
          <w:sz w:val="20"/>
          <w:szCs w:val="20"/>
          <w:color w:val="auto"/>
        </w:rPr>
        <w:t>This Agreement may be assigned by Company to an affiliated entity of the Company with or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consent. This Agreement shall be assigned by the Company to any successor of the Company. This Agreement shall not be assignable by Executive.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135" w:name="page136"/>
    <w:bookmarkEnd w:id="135"/>
    <w:p>
      <w:pPr>
        <w:jc w:val="both"/>
        <w:ind w:firstLine="656"/>
        <w:spacing w:after="0" w:line="262" w:lineRule="auto"/>
        <w:tabs>
          <w:tab w:leader="none" w:pos="1070" w:val="left"/>
        </w:tabs>
        <w:numPr>
          <w:ilvl w:val="0"/>
          <w:numId w:val="1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All notices to be given hereunder shall be in writing and shall be deemed to have been duly given on: the date personally</w:t>
      </w:r>
      <w:r>
        <w:rPr>
          <w:rFonts w:ascii="Arial" w:cs="Arial" w:eastAsia="Arial" w:hAnsi="Arial"/>
          <w:sz w:val="19"/>
          <w:szCs w:val="19"/>
          <w:b w:val="1"/>
          <w:bCs w:val="1"/>
          <w:color w:val="auto"/>
        </w:rPr>
        <w:t xml:space="preserve"> </w:t>
      </w:r>
      <w:r>
        <w:rPr>
          <w:rFonts w:ascii="Arial" w:cs="Arial" w:eastAsia="Arial" w:hAnsi="Arial"/>
          <w:sz w:val="19"/>
          <w:szCs w:val="19"/>
          <w:color w:val="auto"/>
        </w:rPr>
        <w:t>or hand delivered; one (1) day after being sent by internationally-recognized overnight delivery courier; and three (3) days after being sent by certified mail, return receipt requested. Notices mailed to Executive shall be sent to Executive’s last home address as reflected in Company’s personnel records. Executive shall promptly notify Company of any change in Executive’s address. Notices to Company shall be directed to the Chair of the Board and shall be mailed to Company’s headquarters.</w:t>
      </w:r>
    </w:p>
    <w:p>
      <w:pPr>
        <w:spacing w:after="0" w:line="171" w:lineRule="exact"/>
        <w:rPr>
          <w:rFonts w:ascii="Arial" w:cs="Arial" w:eastAsia="Arial" w:hAnsi="Arial"/>
          <w:sz w:val="19"/>
          <w:szCs w:val="19"/>
          <w:b w:val="1"/>
          <w:bCs w:val="1"/>
          <w:color w:val="auto"/>
        </w:rPr>
      </w:pPr>
    </w:p>
    <w:p>
      <w:pPr>
        <w:jc w:val="both"/>
        <w:ind w:firstLine="656"/>
        <w:spacing w:after="0" w:line="269" w:lineRule="auto"/>
        <w:tabs>
          <w:tab w:leader="none" w:pos="1183"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To aid in the rapid and economical resolution of any disputes that may arise between Executive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the Parties agree that any and all disputes, claims, or demands arising from or relating to this Agreement (including but not limited to the Confidential Information Agreement incorporated by reference herein), Executive’s employment relationship with Company, or the termination of that relationship (including statutory claims), shall be resolved, to the fullest extent permitted by law, by final, binding and confidential arbitration in San Francisco, California conducted by JAMS, Inc. (“JAMS”) or its successor, before a single neutral arbitrator, under the then applicable JAMS Arbitration Rules and Procedures for Employment Disputes (available at http://www.jamsadr.com/rules-employment-arbitration/) and subject to JAMS’ Policy on Employment Arbitration Minimum Standards of Procedural Fairness. </w:t>
      </w:r>
      <w:r>
        <w:rPr>
          <w:rFonts w:ascii="Arial" w:cs="Arial" w:eastAsia="Arial" w:hAnsi="Arial"/>
          <w:sz w:val="18"/>
          <w:szCs w:val="18"/>
          <w:b w:val="1"/>
          <w:bCs w:val="1"/>
          <w:color w:val="auto"/>
        </w:rPr>
        <w:t>The Parties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acknowledge that by agreeing to this arbitration procedure, they waive the right to resolve any such dispute, claim or demand through a trial by jury or judge or by administrative proceeding. </w:t>
      </w:r>
      <w:r>
        <w:rPr>
          <w:rFonts w:ascii="Arial" w:cs="Arial" w:eastAsia="Arial" w:hAnsi="Arial"/>
          <w:sz w:val="18"/>
          <w:szCs w:val="18"/>
          <w:color w:val="auto"/>
        </w:rPr>
        <w:t>The arbitrator shall: (a) have authority to compel adequate discovery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dispute and to award such relief as would otherwise be available under applicable law in a court proceeding; (b) issue a written statement signed by the arbitrator regarding the disposition of each claim and the relief, if any, awarded as to each claim, the reasons for the award, and the arbitrator’s essential findings and conclusions on which the award is based; and (c) have authority to decide questions regarding the enforceability, interpretation, scope, applicability, or coverage of this Agreement (including whether an issue is subject to arbitration under this Agreement). Company shall pay all JAMS’ arbitration fees. Executive will have the right to be represented by legal counsel at any arbitration proceeding, at Executive’s expense. The arbitrator may award reasonable attorney’s fees, costs, and expenses to the prevailing party in any arbitration (as reasonably determined by the arbitrator), in addition to any other relief to which the prevailing party may be entitled. Nothing in this Agreement is intended to prevent either Party from obtaining injunctive relief in a court of applicable jurisdiction to prevent irreparable harm pending the conclusion of any arbitration; or from enforcing any arbitration award in a court of applicable jurisdiction.</w:t>
      </w:r>
    </w:p>
    <w:p>
      <w:pPr>
        <w:spacing w:after="0" w:line="172" w:lineRule="exact"/>
        <w:rPr>
          <w:rFonts w:ascii="Arial" w:cs="Arial" w:eastAsia="Arial" w:hAnsi="Arial"/>
          <w:sz w:val="18"/>
          <w:szCs w:val="18"/>
          <w:b w:val="1"/>
          <w:bCs w:val="1"/>
          <w:color w:val="auto"/>
        </w:rPr>
      </w:pPr>
    </w:p>
    <w:p>
      <w:pPr>
        <w:jc w:val="both"/>
        <w:ind w:firstLine="656"/>
        <w:spacing w:after="0" w:line="260" w:lineRule="auto"/>
        <w:tabs>
          <w:tab w:leader="none" w:pos="1067" w:val="left"/>
        </w:tabs>
        <w:numPr>
          <w:ilvl w:val="0"/>
          <w:numId w:val="146"/>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w:t>
      </w:r>
      <w:r>
        <w:rPr>
          <w:rFonts w:ascii="Arial" w:cs="Arial" w:eastAsia="Arial" w:hAnsi="Arial"/>
          <w:sz w:val="19"/>
          <w:szCs w:val="19"/>
          <w:color w:val="auto"/>
        </w:rPr>
        <w:t>. In addition to any rights to indemnification to which Executive may be entitled under Company’s Charter and</w:t>
      </w:r>
      <w:r>
        <w:rPr>
          <w:rFonts w:ascii="Arial" w:cs="Arial" w:eastAsia="Arial" w:hAnsi="Arial"/>
          <w:sz w:val="19"/>
          <w:szCs w:val="19"/>
          <w:b w:val="1"/>
          <w:bCs w:val="1"/>
          <w:color w:val="auto"/>
        </w:rPr>
        <w:t xml:space="preserve"> </w:t>
      </w:r>
      <w:r>
        <w:rPr>
          <w:rFonts w:ascii="Arial" w:cs="Arial" w:eastAsia="Arial" w:hAnsi="Arial"/>
          <w:sz w:val="19"/>
          <w:szCs w:val="19"/>
          <w:color w:val="auto"/>
        </w:rPr>
        <w:t>By-Laws, Company shall indemnify, defend and provide Director and Officer liability insurance coverage to Executive at all times during and after Executive’s employment to the maximum extent permitted by applicable state laws and such insurance policies to cover Executive’s liability and expenses related to Executive’s acts and omissions within the course and scope of employment with Company, and shall pay Executive’s expenses in defending any civil or criminal action, suit, or proceeding in advance of the final disposition of such action, suit, or proceeding, to the maximum extent permitted under such applicable state laws.</w:t>
      </w:r>
    </w:p>
    <w:p>
      <w:pPr>
        <w:spacing w:after="0" w:line="173" w:lineRule="exact"/>
        <w:rPr>
          <w:rFonts w:ascii="Arial" w:cs="Arial" w:eastAsia="Arial" w:hAnsi="Arial"/>
          <w:sz w:val="19"/>
          <w:szCs w:val="19"/>
          <w:b w:val="1"/>
          <w:bCs w:val="1"/>
          <w:color w:val="auto"/>
        </w:rPr>
      </w:pPr>
    </w:p>
    <w:p>
      <w:pPr>
        <w:jc w:val="both"/>
        <w:ind w:firstLine="656"/>
        <w:spacing w:after="0" w:line="243" w:lineRule="auto"/>
        <w:tabs>
          <w:tab w:leader="none" w:pos="1275"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This Agreement, together with the Exhibits, sets forth the complete and exclusive agreement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of the Parties with regard to the subject matter hereof, and supersedes any and all prior or contemporaneous agreements, promises, representations, or communications, written or oral, pertaining to the subject matter hereof (including, but not limited to, the Prior CIC Agreement and any other communications between the Parties regarding benefits in the event of a change in control of Company); provided, however, that this Agreement and its Exhibits do not supersede any prior Performance Unit Plan agreements or any other equity agreements or plans. If any provision of this Agreement is determined to be invalid or unenforceable, in whole or in part, this determination will not affect any other provision of this Agreement, and the invalid or unenforceable provision shall be modified to render it valid and enforceable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136" w:name="page137"/>
    <w:bookmarkEnd w:id="136"/>
    <w:p>
      <w:pPr>
        <w:jc w:val="both"/>
        <w:spacing w:after="0" w:line="282" w:lineRule="auto"/>
        <w:rPr>
          <w:sz w:val="20"/>
          <w:szCs w:val="20"/>
          <w:color w:val="auto"/>
        </w:rPr>
      </w:pPr>
      <w:r>
        <w:rPr>
          <w:rFonts w:ascii="Arial" w:cs="Arial" w:eastAsia="Arial" w:hAnsi="Arial"/>
          <w:sz w:val="18"/>
          <w:szCs w:val="18"/>
          <w:color w:val="auto"/>
        </w:rPr>
        <w:t>consistent with the intent of the parties insofar as possible under applicable law. For purposes of construing this Agreement, any ambiguities shall not be construed against any party as the drafter. This Agreement may be executed in counterparts, which shall be deemed to be part of one original, and facsimile signatures shall be equivalent to original signatures. The validity, interpretation, construction and performance of this Agreement shall be governed by the laws of the State of California, without regard to conflict of laws principles.</w:t>
      </w:r>
    </w:p>
    <w:p>
      <w:pPr>
        <w:spacing w:after="0" w:line="15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each duly executed this Agreement as of the date written below to indicate their</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and acceptance of all of the above-stated terms and conditions.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THE COOPER COMPANIES, INC.</w:t>
      </w:r>
    </w:p>
    <w:p>
      <w:pPr>
        <w:spacing w:after="0" w:line="200" w:lineRule="exact"/>
        <w:rPr>
          <w:sz w:val="20"/>
          <w:szCs w:val="20"/>
          <w:color w:val="auto"/>
        </w:rPr>
      </w:pPr>
    </w:p>
    <w:p>
      <w:pPr>
        <w:spacing w:after="0" w:line="25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Randal 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1379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ind w:left="3900"/>
        <w:spacing w:after="0"/>
        <w:tabs>
          <w:tab w:leader="none" w:pos="432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16"/>
          <w:szCs w:val="16"/>
          <w:color w:val="auto"/>
        </w:rPr>
        <w:t>Vice President, General Counsel &amp; Secretary</w:t>
      </w:r>
    </w:p>
    <w:p>
      <w:pPr>
        <w:spacing w:after="0" w:line="213"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April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-14605</wp:posOffset>
            </wp:positionV>
            <wp:extent cx="8623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233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Robert D.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2566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Robert D. Auerbach, M.D.</w:t>
      </w:r>
    </w:p>
    <w:p>
      <w:pPr>
        <w:spacing w:after="0" w:line="200" w:lineRule="exact"/>
        <w:rPr>
          <w:sz w:val="20"/>
          <w:szCs w:val="20"/>
          <w:color w:val="auto"/>
        </w:rPr>
      </w:pPr>
    </w:p>
    <w:p>
      <w:pPr>
        <w:spacing w:after="0" w:line="229"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April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-14605</wp:posOffset>
            </wp:positionV>
            <wp:extent cx="8578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6"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 CONFIDENTIAL INFORMATION AND INVENTION ASSIGNMENT AGREEMENT</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In consideration of my employment or continued employment by </w:t>
      </w:r>
      <w:r>
        <w:rPr>
          <w:rFonts w:ascii="Arial" w:cs="Arial" w:eastAsia="Arial" w:hAnsi="Arial"/>
          <w:sz w:val="22"/>
          <w:szCs w:val="22"/>
          <w:b w:val="1"/>
          <w:bCs w:val="1"/>
          <w:color w:val="auto"/>
        </w:rPr>
        <w:t>THE COOPER COMPANIES, INC. (“</w:t>
      </w:r>
      <w:r>
        <w:rPr>
          <w:rFonts w:ascii="Arial" w:cs="Arial" w:eastAsia="Arial" w:hAnsi="Arial"/>
          <w:sz w:val="22"/>
          <w:szCs w:val="22"/>
          <w:b w:val="1"/>
          <w:bCs w:val="1"/>
          <w:i w:val="1"/>
          <w:iCs w:val="1"/>
          <w:color w:val="auto"/>
        </w:rPr>
        <w:t>Employer</w:t>
      </w:r>
      <w:r>
        <w:rPr>
          <w:rFonts w:ascii="Arial" w:cs="Arial" w:eastAsia="Arial" w:hAnsi="Arial"/>
          <w:sz w:val="22"/>
          <w:szCs w:val="22"/>
          <w:b w:val="1"/>
          <w:bCs w:val="1"/>
          <w:color w:val="auto"/>
        </w:rPr>
        <w:t>”)</w:t>
      </w:r>
      <w:r>
        <w:rPr>
          <w:rFonts w:ascii="Arial" w:cs="Arial" w:eastAsia="Arial" w:hAnsi="Arial"/>
          <w:sz w:val="22"/>
          <w:szCs w:val="22"/>
          <w:color w:val="auto"/>
        </w:rPr>
        <w:t>, and its subsidiaries, parents, affiliates, successors and assigns (together with Employer,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compensation paid to me now and during my employment with Company, I hereby enter into this Employee Confidential Information and Invention Assignment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agree as follows:</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20"/>
          <w:szCs w:val="20"/>
          <w:b w:val="1"/>
          <w:bCs w:val="1"/>
          <w:color w:val="auto"/>
        </w:rPr>
      </w:pPr>
      <w:r>
        <w:rPr>
          <w:rFonts w:ascii="Arial" w:cs="Arial" w:eastAsia="Arial" w:hAnsi="Arial"/>
          <w:sz w:val="22"/>
          <w:szCs w:val="22"/>
          <w:b w:val="1"/>
          <w:bCs w:val="1"/>
          <w:color w:val="auto"/>
        </w:rPr>
        <w:t>Confidential Information Protections</w:t>
      </w:r>
      <w:r>
        <w:rPr>
          <w:rFonts w:ascii="Arial" w:cs="Arial" w:eastAsia="Arial" w:hAnsi="Arial"/>
          <w:sz w:val="22"/>
          <w:szCs w:val="22"/>
          <w:color w:val="auto"/>
        </w:rPr>
        <w:t>.</w:t>
      </w:r>
    </w:p>
    <w:p>
      <w:pPr>
        <w:spacing w:after="0" w:line="1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1"/>
          <w:szCs w:val="21"/>
          <w:b w:val="1"/>
          <w:bCs w:val="1"/>
          <w:color w:val="auto"/>
        </w:rPr>
        <w:t>Recognition of Company’s Rights; Nondisclosure</w:t>
      </w:r>
      <w:r>
        <w:rPr>
          <w:rFonts w:ascii="Arial" w:cs="Arial" w:eastAsia="Arial" w:hAnsi="Arial"/>
          <w:sz w:val="21"/>
          <w:szCs w:val="21"/>
          <w:color w:val="auto"/>
        </w:rPr>
        <w:t>. I understand and acknowledge that my employment by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creates a relationship of confidence and trust with respect to Company’s Confidential Information (as defined below) and that Company has a protectable interest therein. At all times during and after my employment, I will hold in confidence and will not disclose, use, lecture upon, or publish any of Company’s Confidential Information, except as such disclosure, use or publication may be required in connection with my work for Company, or unless an officer of Company expressly authorizes such disclosure, provided, however, that I will obtain Company’s written approval before publishing or submitting for publication any material (written, oral, or otherwise) that discloses and/or incorporates any Confidential Information. I hereby assign to Company any rights I may have or acquire in any Confidential Information and acknowledge and agree that all Confidential Information will be the sole and exclusive property of Company and its assigns. I will take all reasonable precautions to prevent the disclosure of Confidential Information. Notwithstanding the foregoing, pursuant to 18 U.S.C. Section 1833(b), I will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pacing w:after="0" w:line="200" w:lineRule="exact"/>
        <w:rPr>
          <w:sz w:val="20"/>
          <w:szCs w:val="20"/>
          <w:color w:val="auto"/>
        </w:rPr>
      </w:pPr>
    </w:p>
    <w:p>
      <w:pPr>
        <w:spacing w:after="0" w:line="338"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any and all confidential knowledge, data or</w:t>
      </w:r>
      <w:r>
        <w:rPr>
          <w:rFonts w:ascii="Arial" w:cs="Arial" w:eastAsia="Arial" w:hAnsi="Arial"/>
          <w:sz w:val="18"/>
          <w:szCs w:val="18"/>
          <w:b w:val="1"/>
          <w:bCs w:val="1"/>
          <w:color w:val="auto"/>
        </w:rPr>
        <w:t xml:space="preserve"> </w:t>
      </w:r>
      <w:r>
        <w:rPr>
          <w:rFonts w:ascii="Arial" w:cs="Arial" w:eastAsia="Arial" w:hAnsi="Arial"/>
          <w:sz w:val="19"/>
          <w:szCs w:val="19"/>
          <w:color w:val="auto"/>
        </w:rPr>
        <w:t>information of Company. By way of illustration but not limitation, Confidential Information includes (a) trade secrets, inventions, mask works, ideas, processes, formulas, software in source or object code, data, programs, writings, works of authorship, technology, know-how, improvements, discoveries, developments, designs and techniques and any other work product of any nature whatsoever and all Intellectual Property Rights in all of the foregoing (as defined below) therein (collectively, “</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w:t>
      </w:r>
    </w:p>
    <w:p>
      <w:pPr>
        <w:jc w:val="both"/>
        <w:ind w:firstLine="8"/>
        <w:spacing w:after="0" w:line="288" w:lineRule="auto"/>
        <w:tabs>
          <w:tab w:leader="none" w:pos="33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information regarding research, development, new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 methods of conducting Company business, suppliers and supplier information, and purchasing; (c) information regarding customers and potential customers of Company, including customer lists, names, representatives, their needs or desires with respect to the types of products or services offered by Company, proposals, bids, contracts and their contents and parties, the type and quantity of</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0" w:right="239" w:bottom="1440" w:gutter="0" w:footer="0" w:header="0"/>
        </w:sectPr>
      </w:pPr>
    </w:p>
    <w:bookmarkStart w:id="138" w:name="page139"/>
    <w:bookmarkEnd w:id="138"/>
    <w:p>
      <w:pPr>
        <w:jc w:val="both"/>
        <w:spacing w:after="0" w:line="285" w:lineRule="auto"/>
        <w:rPr>
          <w:sz w:val="20"/>
          <w:szCs w:val="20"/>
          <w:color w:val="auto"/>
        </w:rPr>
      </w:pPr>
      <w:r>
        <w:rPr>
          <w:rFonts w:ascii="Arial" w:cs="Arial" w:eastAsia="Arial" w:hAnsi="Arial"/>
          <w:sz w:val="19"/>
          <w:szCs w:val="19"/>
          <w:color w:val="auto"/>
        </w:rPr>
        <w:t>products and services provided or sought to be provided to customers and potential customers of Company and other non-public information relating to customers and potential customers; (d) information regarding any of Company’s business partners and their services, including names, representatives, proposals, bids, contracts and their contents and parties, the type and quantity of products and services received by Company, and other non-public information relating to business partners; (e) information regarding personnel, employee lists, compensation, and employee skills; and (f) any other non-public information which a competitor of Company could use to the competitive disadvantage of Company. Furthermore, I acknowledge and agree that all Company Inventions (as defined in Section 2.1) are deemed Confidential Information of Company. Notwithstanding the foregoing, it is understood that, at all times, I am free to use information which was known to me prior to my employment with Company or which is, or becomes, generally known in the trade or industry through no breach of this Agreement or any other act or omission by me. Notwithstanding anything to the contrary in this Agreement or any other agreement between the Company and me, nothing in this Agreement will limit my right to discuss my employment or report possible violations of law or regulation with the Equal Employment Opportunity Commission, United States Department of Labor, the National Labor Relations Board, the Securities and Exchange Commission, or other federal government agency or similar state or local agency or to discuss the terms and conditions of my employment with others to the extent expressly permitted by Section 7 of the National Labor Relations Act or to the extent that such disclosure is protected under the applicable provisions of law or regulation, including but not limited to “whistleblower” statutes or other similar provisions that protect such disclosure</w:t>
      </w:r>
    </w:p>
    <w:p>
      <w:pPr>
        <w:spacing w:after="0" w:line="56"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1"/>
          <w:szCs w:val="21"/>
          <w:b w:val="1"/>
          <w:bCs w:val="1"/>
          <w:color w:val="auto"/>
        </w:rPr>
        <w:t>Third Party Information</w:t>
      </w:r>
      <w:r>
        <w:rPr>
          <w:rFonts w:ascii="Arial" w:cs="Arial" w:eastAsia="Arial" w:hAnsi="Arial"/>
          <w:sz w:val="21"/>
          <w:szCs w:val="21"/>
          <w:color w:val="auto"/>
        </w:rPr>
        <w:t>. I understand, in addition, that Company has received and in the future will receive from third</w:t>
      </w:r>
      <w:r>
        <w:rPr>
          <w:rFonts w:ascii="Arial" w:cs="Arial" w:eastAsia="Arial" w:hAnsi="Arial"/>
          <w:sz w:val="20"/>
          <w:szCs w:val="20"/>
          <w:b w:val="1"/>
          <w:bCs w:val="1"/>
          <w:color w:val="auto"/>
        </w:rPr>
        <w:t xml:space="preserve"> </w:t>
      </w:r>
      <w:r>
        <w:rPr>
          <w:rFonts w:ascii="Arial" w:cs="Arial" w:eastAsia="Arial" w:hAnsi="Arial"/>
          <w:sz w:val="21"/>
          <w:szCs w:val="21"/>
          <w:color w:val="auto"/>
        </w:rPr>
        <w:t>parties their confidential and/or proprietary knowledge, data or information (</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Third Party Information</w:t>
      </w:r>
      <w:r>
        <w:rPr>
          <w:rFonts w:ascii="Arial" w:cs="Arial" w:eastAsia="Arial" w:hAnsi="Arial"/>
          <w:sz w:val="21"/>
          <w:szCs w:val="21"/>
          <w:b w:val="1"/>
          <w:bCs w:val="1"/>
          <w:color w:val="auto"/>
        </w:rPr>
        <w:t>”</w:t>
      </w:r>
      <w:r>
        <w:rPr>
          <w:rFonts w:ascii="Arial" w:cs="Arial" w:eastAsia="Arial" w:hAnsi="Arial"/>
          <w:sz w:val="21"/>
          <w:szCs w:val="21"/>
          <w:color w:val="auto"/>
        </w:rPr>
        <w:t>) subject to a duty on Company’s part to maintain the confidentiality of such information and to use it only for certain limited purposes. During the term of my employment and thereafter, I will hold Third Party Information in confidence and will not disclose to anyone (other than Company personnel who need to know such information in connection with their work for Company) or use Third Party Information, in each case except in connection with my work for Company, or as otherwise expressly authorized by an officer of Company in writing.</w:t>
      </w:r>
    </w:p>
    <w:p>
      <w:pPr>
        <w:spacing w:after="0" w:line="65"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1"/>
          <w:szCs w:val="21"/>
          <w:b w:val="1"/>
          <w:bCs w:val="1"/>
          <w:color w:val="auto"/>
        </w:rPr>
        <w:t>Term of Nondisclosure Restrictions</w:t>
      </w:r>
      <w:r>
        <w:rPr>
          <w:rFonts w:ascii="Arial" w:cs="Arial" w:eastAsia="Arial" w:hAnsi="Arial"/>
          <w:sz w:val="21"/>
          <w:szCs w:val="21"/>
          <w:color w:val="auto"/>
        </w:rPr>
        <w:t>. I understand that Confidential Information and Third Party Information is only to</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be used or disclosed by me as provided in this Section 1. If a temporal limitation on my obligation not to use or disclose such information is required under applicable law, and the Agreement or its restriction(s) cannot otherwise be enforced, I agree and Company agrees that the two year period after the date my employment ends will be the temporal limitation relevant to the contested restriction; </w:t>
      </w:r>
      <w:r>
        <w:rPr>
          <w:rFonts w:ascii="Arial" w:cs="Arial" w:eastAsia="Arial" w:hAnsi="Arial"/>
          <w:sz w:val="21"/>
          <w:szCs w:val="21"/>
          <w:b w:val="1"/>
          <w:bCs w:val="1"/>
          <w:i w:val="1"/>
          <w:iCs w:val="1"/>
          <w:color w:val="auto"/>
        </w:rPr>
        <w:t>provided, however</w:t>
      </w:r>
      <w:r>
        <w:rPr>
          <w:rFonts w:ascii="Arial" w:cs="Arial" w:eastAsia="Arial" w:hAnsi="Arial"/>
          <w:sz w:val="21"/>
          <w:szCs w:val="21"/>
          <w:b w:val="1"/>
          <w:bCs w:val="1"/>
          <w:color w:val="auto"/>
        </w:rPr>
        <w:t>,</w:t>
      </w:r>
      <w:r>
        <w:rPr>
          <w:rFonts w:ascii="Arial" w:cs="Arial" w:eastAsia="Arial" w:hAnsi="Arial"/>
          <w:sz w:val="21"/>
          <w:szCs w:val="21"/>
          <w:color w:val="auto"/>
        </w:rPr>
        <w:t xml:space="preserve"> that this sentence will not apply to trade secrets protected without temporal limitation under applicable law.</w:t>
      </w:r>
    </w:p>
    <w:p>
      <w:pPr>
        <w:spacing w:after="0" w:line="6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1"/>
          <w:szCs w:val="21"/>
          <w:b w:val="1"/>
          <w:bCs w:val="1"/>
          <w:color w:val="auto"/>
        </w:rPr>
        <w:t>No Improper Use of Information of Prior Employers and Others</w:t>
      </w:r>
      <w:r>
        <w:rPr>
          <w:rFonts w:ascii="Arial" w:cs="Arial" w:eastAsia="Arial" w:hAnsi="Arial"/>
          <w:sz w:val="21"/>
          <w:szCs w:val="21"/>
          <w:color w:val="auto"/>
        </w:rPr>
        <w:t>. During my employment by Company, I will not</w:t>
      </w:r>
      <w:r>
        <w:rPr>
          <w:rFonts w:ascii="Arial" w:cs="Arial" w:eastAsia="Arial" w:hAnsi="Arial"/>
          <w:sz w:val="20"/>
          <w:szCs w:val="20"/>
          <w:b w:val="1"/>
          <w:bCs w:val="1"/>
          <w:color w:val="auto"/>
        </w:rPr>
        <w:t xml:space="preserve"> </w:t>
      </w:r>
      <w:r>
        <w:rPr>
          <w:rFonts w:ascii="Arial" w:cs="Arial" w:eastAsia="Arial" w:hAnsi="Arial"/>
          <w:sz w:val="21"/>
          <w:szCs w:val="21"/>
          <w:color w:val="auto"/>
        </w:rPr>
        <w:t>improperly use or disclose confidential information or trade secrets, if any, of any former employer or any other person to whom I have an obligation of confidentiality, and I will not bring onto the premises of Company any unpublished documents or any property belonging to any former employer or any other person to whom I have an obligation of confidentiality unless consented to in writing by that former employer or person.</w:t>
      </w:r>
    </w:p>
    <w:p>
      <w:pPr>
        <w:spacing w:after="0" w:line="56"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20"/>
          <w:szCs w:val="20"/>
          <w:b w:val="1"/>
          <w:bCs w:val="1"/>
          <w:color w:val="auto"/>
        </w:rPr>
      </w:pPr>
      <w:r>
        <w:rPr>
          <w:rFonts w:ascii="Arial" w:cs="Arial" w:eastAsia="Arial" w:hAnsi="Arial"/>
          <w:sz w:val="22"/>
          <w:szCs w:val="22"/>
          <w:b w:val="1"/>
          <w:bCs w:val="1"/>
          <w:color w:val="auto"/>
        </w:rPr>
        <w:t>Assignments of Inventions</w:t>
      </w:r>
      <w:r>
        <w:rPr>
          <w:rFonts w:ascii="Arial" w:cs="Arial" w:eastAsia="Arial" w:hAnsi="Arial"/>
          <w:sz w:val="22"/>
          <w:szCs w:val="22"/>
          <w:color w:val="auto"/>
        </w:rPr>
        <w: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75" w:right="239" w:bottom="1440" w:gutter="0" w:footer="0" w:header="0"/>
        </w:sectPr>
      </w:pPr>
    </w:p>
    <w:bookmarkStart w:id="139" w:name="page140"/>
    <w:bookmarkEnd w:id="139"/>
    <w:p>
      <w:pPr>
        <w:jc w:val="both"/>
        <w:ind w:firstLine="392"/>
        <w:spacing w:after="0" w:line="272"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20"/>
          <w:szCs w:val="20"/>
          <w:b w:val="1"/>
          <w:bCs w:val="1"/>
          <w:color w:val="auto"/>
        </w:rPr>
        <w:t>Definitions</w:t>
      </w:r>
      <w:r>
        <w:rPr>
          <w:rFonts w:ascii="Arial" w:cs="Arial" w:eastAsia="Arial" w:hAnsi="Arial"/>
          <w:sz w:val="20"/>
          <w:szCs w:val="20"/>
          <w:color w:val="auto"/>
        </w:rPr>
        <w:t>. As used in this Agreement, the term (a)</w:t>
      </w:r>
      <w:r>
        <w:rPr>
          <w:rFonts w:ascii="Arial" w:cs="Arial" w:eastAsia="Arial" w:hAnsi="Arial"/>
          <w:sz w:val="19"/>
          <w:szCs w:val="19"/>
          <w:b w:val="1"/>
          <w:bCs w:val="1"/>
          <w:color w:val="auto"/>
        </w:rPr>
        <w:t xml:space="preserve">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Intellectual Property Rights</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20"/>
          <w:szCs w:val="20"/>
          <w:color w:val="auto"/>
        </w:rPr>
        <w:t>means all past, present and future</w:t>
      </w:r>
      <w:r>
        <w:rPr>
          <w:rFonts w:ascii="Arial" w:cs="Arial" w:eastAsia="Arial" w:hAnsi="Arial"/>
          <w:sz w:val="19"/>
          <w:szCs w:val="19"/>
          <w:b w:val="1"/>
          <w:bCs w:val="1"/>
          <w:color w:val="auto"/>
        </w:rPr>
        <w:t xml:space="preserve"> </w:t>
      </w:r>
      <w:r>
        <w:rPr>
          <w:rFonts w:ascii="Arial" w:cs="Arial" w:eastAsia="Arial" w:hAnsi="Arial"/>
          <w:sz w:val="20"/>
          <w:szCs w:val="20"/>
          <w:color w:val="auto"/>
        </w:rPr>
        <w:t>rights of the following types, which may exist or be created under the laws of any jurisdiction in the world: trade secrets, Copyrights, trademark and trade name rights, mask work rights, patents and industrial property, and all proprietary rights in technology or works of authorized; (b) “</w:t>
      </w:r>
      <w:r>
        <w:rPr>
          <w:rFonts w:ascii="Arial" w:cs="Arial" w:eastAsia="Arial" w:hAnsi="Arial"/>
          <w:sz w:val="20"/>
          <w:szCs w:val="20"/>
          <w:b w:val="1"/>
          <w:bCs w:val="1"/>
          <w:i w:val="1"/>
          <w:iCs w:val="1"/>
          <w:color w:val="auto"/>
        </w:rPr>
        <w:t>Copyright</w:t>
      </w:r>
      <w:r>
        <w:rPr>
          <w:rFonts w:ascii="Arial" w:cs="Arial" w:eastAsia="Arial" w:hAnsi="Arial"/>
          <w:sz w:val="20"/>
          <w:szCs w:val="20"/>
          <w:color w:val="auto"/>
        </w:rPr>
        <w:t>” means the exclusive legal right to reproduce, perform, display, distribute and make derivative works of a work of authorship (as a literary, musical, or artistic work) recognized by the laws of any jurisdiction or country; (c) “</w:t>
      </w:r>
      <w:r>
        <w:rPr>
          <w:rFonts w:ascii="Arial" w:cs="Arial" w:eastAsia="Arial" w:hAnsi="Arial"/>
          <w:sz w:val="20"/>
          <w:szCs w:val="20"/>
          <w:b w:val="1"/>
          <w:bCs w:val="1"/>
          <w:i w:val="1"/>
          <w:iCs w:val="1"/>
          <w:color w:val="auto"/>
        </w:rPr>
        <w:t>Moral Rights</w:t>
      </w:r>
      <w:r>
        <w:rPr>
          <w:rFonts w:ascii="Arial" w:cs="Arial" w:eastAsia="Arial" w:hAnsi="Arial"/>
          <w:sz w:val="20"/>
          <w:szCs w:val="20"/>
          <w:color w:val="auto"/>
        </w:rPr>
        <w:t>” means all paternity, integrity, disclosure, withdrawal, special and any other similar rights recognized by the laws of any jurisdiction or country; (d) “</w:t>
      </w:r>
      <w:r>
        <w:rPr>
          <w:rFonts w:ascii="Arial" w:cs="Arial" w:eastAsia="Arial" w:hAnsi="Arial"/>
          <w:sz w:val="20"/>
          <w:szCs w:val="20"/>
          <w:b w:val="1"/>
          <w:bCs w:val="1"/>
          <w:i w:val="1"/>
          <w:iCs w:val="1"/>
          <w:color w:val="auto"/>
        </w:rPr>
        <w:t>Company Inventions</w:t>
      </w:r>
      <w:r>
        <w:rPr>
          <w:rFonts w:ascii="Arial" w:cs="Arial" w:eastAsia="Arial" w:hAnsi="Arial"/>
          <w:sz w:val="20"/>
          <w:szCs w:val="20"/>
          <w:color w:val="auto"/>
        </w:rPr>
        <w:t>” means any and all Inventions (and all Intellectual Property Rights with respect thereto) that are made, conceived, prepared, produced, authored, edited, amended, reduced to practice, or learned by me, either alone or with others, during the period of my employment by Company, and all printed, physical, and electronic copies, all improvements, rights, and claims related to the foregoing, and other tangible embodiments thereof; and (e) “</w:t>
      </w:r>
      <w:r>
        <w:rPr>
          <w:rFonts w:ascii="Arial" w:cs="Arial" w:eastAsia="Arial" w:hAnsi="Arial"/>
          <w:sz w:val="20"/>
          <w:szCs w:val="20"/>
          <w:b w:val="1"/>
          <w:bCs w:val="1"/>
          <w:i w:val="1"/>
          <w:iCs w:val="1"/>
          <w:color w:val="auto"/>
        </w:rPr>
        <w:t>Nonassignable Inventions</w:t>
      </w:r>
      <w:r>
        <w:rPr>
          <w:rFonts w:ascii="Arial" w:cs="Arial" w:eastAsia="Arial" w:hAnsi="Arial"/>
          <w:sz w:val="20"/>
          <w:szCs w:val="20"/>
          <w:color w:val="auto"/>
        </w:rPr>
        <w:t>” means any Inventions that I develop entirely on my own time without using any of Company’s equipment, supplies, facilities, or trade secret information, except for those Inventions that either: (i) relate at the time of conception or reduction to practice of the Invention to Company’s business, or actual or demonstrably anticipated research or development of Company; (ii) result from any work performed by me for Company; or (iii) are covered by a contract between Company and the United States or any of its agencies that requires full title to such patent or Invention to be in the United States.</w:t>
      </w:r>
    </w:p>
    <w:p>
      <w:pPr>
        <w:spacing w:after="0" w:line="61"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Prior Inventions</w:t>
      </w:r>
      <w:r>
        <w:rPr>
          <w:rFonts w:ascii="Arial" w:cs="Arial" w:eastAsia="Arial" w:hAnsi="Arial"/>
          <w:sz w:val="19"/>
          <w:szCs w:val="19"/>
          <w:color w:val="auto"/>
        </w:rPr>
        <w:t>.</w:t>
      </w:r>
    </w:p>
    <w:p>
      <w:pPr>
        <w:spacing w:after="0" w:line="148" w:lineRule="exact"/>
        <w:rPr>
          <w:sz w:val="20"/>
          <w:szCs w:val="20"/>
          <w:color w:val="auto"/>
        </w:rPr>
      </w:pPr>
    </w:p>
    <w:p>
      <w:pPr>
        <w:jc w:val="both"/>
        <w:ind w:firstLine="1305"/>
        <w:spacing w:after="0" w:line="256" w:lineRule="auto"/>
        <w:tabs>
          <w:tab w:leader="none" w:pos="1748" w:val="left"/>
        </w:tabs>
        <w:numPr>
          <w:ilvl w:val="0"/>
          <w:numId w:val="150"/>
        </w:numPr>
        <w:rPr>
          <w:rFonts w:ascii="Arial" w:cs="Arial" w:eastAsia="Arial" w:hAnsi="Arial"/>
          <w:sz w:val="20"/>
          <w:szCs w:val="20"/>
          <w:b w:val="1"/>
          <w:bCs w:val="1"/>
          <w:color w:val="auto"/>
        </w:rPr>
      </w:pPr>
      <w:r>
        <w:rPr>
          <w:rFonts w:ascii="Arial" w:cs="Arial" w:eastAsia="Arial" w:hAnsi="Arial"/>
          <w:sz w:val="22"/>
          <w:szCs w:val="22"/>
          <w:color w:val="auto"/>
        </w:rPr>
        <w:t xml:space="preserve">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is a list describing all Inventions, if any, that (a) are owned by me or in which I have an interest and that were made or acquired by me prior to my date of first employment by Company, and (b) are not to be assigned to Company (“</w:t>
      </w:r>
      <w:r>
        <w:rPr>
          <w:rFonts w:ascii="Arial" w:cs="Arial" w:eastAsia="Arial" w:hAnsi="Arial"/>
          <w:sz w:val="22"/>
          <w:szCs w:val="22"/>
          <w:b w:val="1"/>
          <w:bCs w:val="1"/>
          <w:i w:val="1"/>
          <w:iCs w:val="1"/>
          <w:color w:val="auto"/>
        </w:rPr>
        <w:t>Prior Inventions</w:t>
      </w:r>
      <w:r>
        <w:rPr>
          <w:rFonts w:ascii="Arial" w:cs="Arial" w:eastAsia="Arial" w:hAnsi="Arial"/>
          <w:sz w:val="22"/>
          <w:szCs w:val="22"/>
          <w:color w:val="auto"/>
        </w:rPr>
        <w:t>”). If no such list is attached, I represent and warrant that no Inventions that would be classified as Prior Inventions exist as of the date of this Agreement.</w:t>
      </w:r>
    </w:p>
    <w:p>
      <w:pPr>
        <w:spacing w:after="0" w:line="182" w:lineRule="exact"/>
        <w:rPr>
          <w:rFonts w:ascii="Arial" w:cs="Arial" w:eastAsia="Arial" w:hAnsi="Arial"/>
          <w:sz w:val="20"/>
          <w:szCs w:val="20"/>
          <w:b w:val="1"/>
          <w:bCs w:val="1"/>
          <w:color w:val="auto"/>
        </w:rPr>
      </w:pPr>
    </w:p>
    <w:p>
      <w:pPr>
        <w:jc w:val="both"/>
        <w:ind w:firstLine="1305"/>
        <w:spacing w:after="0" w:line="258" w:lineRule="auto"/>
        <w:tabs>
          <w:tab w:leader="none" w:pos="1732" w:val="left"/>
        </w:tabs>
        <w:numPr>
          <w:ilvl w:val="0"/>
          <w:numId w:val="150"/>
        </w:numPr>
        <w:rPr>
          <w:rFonts w:ascii="Arial" w:cs="Arial" w:eastAsia="Arial" w:hAnsi="Arial"/>
          <w:sz w:val="19"/>
          <w:szCs w:val="19"/>
          <w:b w:val="1"/>
          <w:bCs w:val="1"/>
          <w:color w:val="auto"/>
        </w:rPr>
      </w:pPr>
      <w:r>
        <w:rPr>
          <w:rFonts w:ascii="Arial" w:cs="Arial" w:eastAsia="Arial" w:hAnsi="Arial"/>
          <w:sz w:val="21"/>
          <w:szCs w:val="21"/>
          <w:color w:val="auto"/>
        </w:rPr>
        <w:t>I acknowledge and agree that if I use any Prior Inventions and/or Nonassignable Inventions in the scope of my employment, or if I include any Prior Inventions or Nonassignable Inventions in any product or service of Company, or if my rights in any Prior Inventions or any Nonassignable Inventions may block or interfere with, or may otherwise be required for, the exercise by Company of any rights assigned to Company under this Agreement (each, a “</w:t>
      </w:r>
      <w:r>
        <w:rPr>
          <w:rFonts w:ascii="Arial" w:cs="Arial" w:eastAsia="Arial" w:hAnsi="Arial"/>
          <w:sz w:val="21"/>
          <w:szCs w:val="21"/>
          <w:b w:val="1"/>
          <w:bCs w:val="1"/>
          <w:i w:val="1"/>
          <w:iCs w:val="1"/>
          <w:color w:val="auto"/>
        </w:rPr>
        <w:t>License Event</w:t>
      </w:r>
      <w:r>
        <w:rPr>
          <w:rFonts w:ascii="Arial" w:cs="Arial" w:eastAsia="Arial" w:hAnsi="Arial"/>
          <w:sz w:val="21"/>
          <w:szCs w:val="21"/>
          <w:color w:val="auto"/>
        </w:rPr>
        <w:t>”), I will immediately so notify Company in writing. Unless Company and I agree otherwise in writing as to particular Prior Inventions or Nonassignable Invention, I hereby grant to Company, (whether or not I give Company notice as required above), a non-exclusive, perpetual, transferable,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Prior Inventions and Nonassignable Inventions, provided that the foregoing license shall only apply in connection with a License Event. To the extent that any third parties have any rights in or to any Prior Inventions or any Nonassignable Inventions, I hereby represent and warrant that such third party or parties have validly and irrevocably granted to me the right to grant the license stated above.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9" w:right="239" w:bottom="1440" w:gutter="0" w:footer="0" w:header="0"/>
        </w:sectPr>
      </w:pPr>
    </w:p>
    <w:bookmarkStart w:id="140" w:name="page141"/>
    <w:bookmarkEnd w:id="140"/>
    <w:p>
      <w:pPr>
        <w:jc w:val="both"/>
        <w:ind w:firstLine="392"/>
        <w:spacing w:after="0" w:line="260"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1"/>
          <w:szCs w:val="21"/>
          <w:b w:val="1"/>
          <w:bCs w:val="1"/>
          <w:color w:val="auto"/>
        </w:rPr>
        <w:t>Assignment of Company Inventions</w:t>
      </w:r>
      <w:r>
        <w:rPr>
          <w:rFonts w:ascii="Arial" w:cs="Arial" w:eastAsia="Arial" w:hAnsi="Arial"/>
          <w:sz w:val="21"/>
          <w:szCs w:val="21"/>
          <w:color w:val="auto"/>
        </w:rPr>
        <w:t>. Except for Nonassignable Inventions, I hereby assign to Employer all my right,</w:t>
      </w:r>
      <w:r>
        <w:rPr>
          <w:rFonts w:ascii="Arial" w:cs="Arial" w:eastAsia="Arial" w:hAnsi="Arial"/>
          <w:sz w:val="20"/>
          <w:szCs w:val="20"/>
          <w:b w:val="1"/>
          <w:bCs w:val="1"/>
          <w:color w:val="auto"/>
        </w:rPr>
        <w:t xml:space="preserve"> </w:t>
      </w:r>
      <w:r>
        <w:rPr>
          <w:rFonts w:ascii="Arial" w:cs="Arial" w:eastAsia="Arial" w:hAnsi="Arial"/>
          <w:sz w:val="21"/>
          <w:szCs w:val="21"/>
          <w:color w:val="auto"/>
        </w:rPr>
        <w:t>title, and interest in and to any and all Company Inventions and all Intellectual Property Rights related thereto. Any assignment of Company Inventions (and all Intellectual Property Rights with respect thereto) hereunder includes an assignment of all Moral Rights. To the extent such Moral Rights cannot be assigned to Employer and to the extent the following is allowed by the laws in any country where Moral Rights exist, I hereby unconditionally and irrevocably waive the enforcement of such Moral Rights, and all claims and causes of action of any kind against Employer or related to Employer’s customers, with respect to such rights. I further acknowledge and agree that neither my successors-in-interest nor legal heirs retain any Moral Rights in any Company Inventions (and any Intellectual Property Rights with respect thereto). Nothing contained in this Agreement shall be construed to reduce or limit Company’s rights, title, or interest in any Company Inventions so as to be less in any respect than that Company would have had in the absence of this Agreement.</w:t>
      </w:r>
    </w:p>
    <w:p>
      <w:pPr>
        <w:spacing w:after="0" w:line="126" w:lineRule="exact"/>
        <w:rPr>
          <w:sz w:val="20"/>
          <w:szCs w:val="20"/>
          <w:color w:val="auto"/>
        </w:rPr>
      </w:pPr>
    </w:p>
    <w:p>
      <w:pPr>
        <w:jc w:val="both"/>
        <w:ind w:right="20" w:firstLine="405"/>
        <w:spacing w:after="0" w:line="307"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1"/>
          <w:szCs w:val="21"/>
          <w:b w:val="1"/>
          <w:bCs w:val="1"/>
          <w:color w:val="auto"/>
        </w:rPr>
        <w:t>Nonassignable Inventions</w:t>
      </w:r>
      <w:r>
        <w:rPr>
          <w:rFonts w:ascii="Arial" w:cs="Arial" w:eastAsia="Arial" w:hAnsi="Arial"/>
          <w:sz w:val="21"/>
          <w:szCs w:val="21"/>
          <w:color w:val="auto"/>
        </w:rPr>
        <w:t>. I acknowledge that, in accordance with California Labor Code section 2870(a), nothing in</w:t>
      </w:r>
      <w:r>
        <w:rPr>
          <w:rFonts w:ascii="Arial" w:cs="Arial" w:eastAsia="Arial" w:hAnsi="Arial"/>
          <w:sz w:val="20"/>
          <w:szCs w:val="20"/>
          <w:b w:val="1"/>
          <w:bCs w:val="1"/>
          <w:color w:val="auto"/>
        </w:rPr>
        <w:t xml:space="preserve"> </w:t>
      </w:r>
      <w:r>
        <w:rPr>
          <w:rFonts w:ascii="Arial" w:cs="Arial" w:eastAsia="Arial" w:hAnsi="Arial"/>
          <w:sz w:val="21"/>
          <w:szCs w:val="21"/>
          <w:color w:val="auto"/>
        </w:rPr>
        <w:t>this Agreement shall require me to assign a Nonassignable Invention to Company.</w:t>
      </w:r>
    </w:p>
    <w:p>
      <w:pPr>
        <w:spacing w:after="0" w:line="125"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20"/>
          <w:szCs w:val="20"/>
          <w:b w:val="1"/>
          <w:bCs w:val="1"/>
          <w:color w:val="auto"/>
        </w:rPr>
        <w:t xml:space="preserve">2.5 </w:t>
      </w:r>
      <w:r>
        <w:rPr>
          <w:rFonts w:ascii="Arial" w:cs="Arial" w:eastAsia="Arial" w:hAnsi="Arial"/>
          <w:sz w:val="21"/>
          <w:szCs w:val="21"/>
          <w:b w:val="1"/>
          <w:bCs w:val="1"/>
          <w:color w:val="auto"/>
        </w:rPr>
        <w:t>Obligation to Keep Company Informed</w:t>
      </w:r>
      <w:r>
        <w:rPr>
          <w:rFonts w:ascii="Arial" w:cs="Arial" w:eastAsia="Arial" w:hAnsi="Arial"/>
          <w:sz w:val="21"/>
          <w:szCs w:val="21"/>
          <w:color w:val="auto"/>
        </w:rPr>
        <w:t>. During the period of my employment, I will promptly and fully disclose to</w:t>
      </w:r>
      <w:r>
        <w:rPr>
          <w:rFonts w:ascii="Arial" w:cs="Arial" w:eastAsia="Arial" w:hAnsi="Arial"/>
          <w:sz w:val="20"/>
          <w:szCs w:val="20"/>
          <w:b w:val="1"/>
          <w:bCs w:val="1"/>
          <w:color w:val="auto"/>
        </w:rPr>
        <w:t xml:space="preserve"> </w:t>
      </w:r>
      <w:r>
        <w:rPr>
          <w:rFonts w:ascii="Arial" w:cs="Arial" w:eastAsia="Arial" w:hAnsi="Arial"/>
          <w:sz w:val="21"/>
          <w:szCs w:val="21"/>
          <w:color w:val="auto"/>
        </w:rPr>
        <w:t>Company in writing all Inventions authored, conceived, or reduced to practice by me, either alone or jointly with others. At the time of each such disclosure, I will advise Company in writing of any Inventions that constitute Nonassignable Inventions; and I will at that time provide to Company in writing all evidence necessary to substantiate that belief. Company will keep in confidence and will not use for any purpose or disclose to third parties without my consent any confidential information disclosed in writing to Company pursuant to this Agreement relating to such Inventions.</w:t>
      </w:r>
    </w:p>
    <w:p>
      <w:pPr>
        <w:spacing w:after="0" w:line="169"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2.6 </w:t>
      </w:r>
      <w:r>
        <w:rPr>
          <w:rFonts w:ascii="Arial" w:cs="Arial" w:eastAsia="Arial" w:hAnsi="Arial"/>
          <w:sz w:val="21"/>
          <w:szCs w:val="21"/>
          <w:b w:val="1"/>
          <w:bCs w:val="1"/>
          <w:color w:val="auto"/>
        </w:rPr>
        <w:t>Government or Third Party</w:t>
      </w:r>
      <w:r>
        <w:rPr>
          <w:rFonts w:ascii="Arial" w:cs="Arial" w:eastAsia="Arial" w:hAnsi="Arial"/>
          <w:sz w:val="21"/>
          <w:szCs w:val="21"/>
          <w:color w:val="auto"/>
        </w:rPr>
        <w:t>. I agree that, as directed by Company, I will assign to a third party, including without</w:t>
      </w:r>
      <w:r>
        <w:rPr>
          <w:rFonts w:ascii="Arial" w:cs="Arial" w:eastAsia="Arial" w:hAnsi="Arial"/>
          <w:sz w:val="20"/>
          <w:szCs w:val="20"/>
          <w:b w:val="1"/>
          <w:bCs w:val="1"/>
          <w:color w:val="auto"/>
        </w:rPr>
        <w:t xml:space="preserve"> </w:t>
      </w:r>
      <w:r>
        <w:rPr>
          <w:rFonts w:ascii="Arial" w:cs="Arial" w:eastAsia="Arial" w:hAnsi="Arial"/>
          <w:sz w:val="21"/>
          <w:szCs w:val="21"/>
          <w:color w:val="auto"/>
        </w:rPr>
        <w:t>limitation the United States, all my right, title, and interest in and to any particular Company Invention.</w:t>
      </w:r>
    </w:p>
    <w:p>
      <w:pPr>
        <w:spacing w:after="0" w:line="1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2.7 </w:t>
      </w:r>
      <w:r>
        <w:rPr>
          <w:rFonts w:ascii="Arial" w:cs="Arial" w:eastAsia="Arial" w:hAnsi="Arial"/>
          <w:sz w:val="21"/>
          <w:szCs w:val="21"/>
          <w:b w:val="1"/>
          <w:bCs w:val="1"/>
          <w:color w:val="auto"/>
        </w:rPr>
        <w:t>Ownership of Work Product</w:t>
      </w:r>
      <w:r>
        <w:rPr>
          <w:rFonts w:ascii="Arial" w:cs="Arial" w:eastAsia="Arial" w:hAnsi="Arial"/>
          <w:sz w:val="21"/>
          <w:szCs w:val="21"/>
          <w:color w:val="auto"/>
        </w:rPr>
        <w:t>. I acknowledge that all original works of authorship which are made by me (solely or</w:t>
      </w:r>
      <w:r>
        <w:rPr>
          <w:rFonts w:ascii="Arial" w:cs="Arial" w:eastAsia="Arial" w:hAnsi="Arial"/>
          <w:sz w:val="20"/>
          <w:szCs w:val="20"/>
          <w:b w:val="1"/>
          <w:bCs w:val="1"/>
          <w:color w:val="auto"/>
        </w:rPr>
        <w:t xml:space="preserve"> </w:t>
      </w:r>
      <w:r>
        <w:rPr>
          <w:rFonts w:ascii="Arial" w:cs="Arial" w:eastAsia="Arial" w:hAnsi="Arial"/>
          <w:sz w:val="21"/>
          <w:szCs w:val="21"/>
          <w:color w:val="auto"/>
        </w:rPr>
        <w:t>jointly with others) within the scope of my employment and which are protectable by Copyright are “works made for hire,” pursuant to United States Copyright Act (17 U.S.C., Section 101).</w:t>
      </w:r>
    </w:p>
    <w:p>
      <w:pPr>
        <w:spacing w:after="0" w:line="43" w:lineRule="exact"/>
        <w:rPr>
          <w:sz w:val="20"/>
          <w:szCs w:val="20"/>
          <w:color w:val="auto"/>
        </w:rPr>
      </w:pPr>
    </w:p>
    <w:p>
      <w:pPr>
        <w:jc w:val="both"/>
        <w:ind w:firstLine="392"/>
        <w:spacing w:after="0" w:line="275" w:lineRule="auto"/>
        <w:rPr>
          <w:sz w:val="20"/>
          <w:szCs w:val="20"/>
          <w:color w:val="auto"/>
        </w:rPr>
      </w:pPr>
      <w:r>
        <w:rPr>
          <w:rFonts w:ascii="Arial" w:cs="Arial" w:eastAsia="Arial" w:hAnsi="Arial"/>
          <w:sz w:val="19"/>
          <w:szCs w:val="19"/>
          <w:b w:val="1"/>
          <w:bCs w:val="1"/>
          <w:color w:val="auto"/>
        </w:rPr>
        <w:t xml:space="preserve">2.8 </w:t>
      </w:r>
      <w:r>
        <w:rPr>
          <w:rFonts w:ascii="Arial" w:cs="Arial" w:eastAsia="Arial" w:hAnsi="Arial"/>
          <w:sz w:val="20"/>
          <w:szCs w:val="20"/>
          <w:b w:val="1"/>
          <w:bCs w:val="1"/>
          <w:color w:val="auto"/>
        </w:rPr>
        <w:t>Enforcement of Intellectual Property Rights and Assistance</w:t>
      </w:r>
      <w:r>
        <w:rPr>
          <w:rFonts w:ascii="Arial" w:cs="Arial" w:eastAsia="Arial" w:hAnsi="Arial"/>
          <w:sz w:val="20"/>
          <w:szCs w:val="20"/>
          <w:color w:val="auto"/>
        </w:rPr>
        <w:t>. I will assist Company in every proper way to obtain, and</w:t>
      </w:r>
      <w:r>
        <w:rPr>
          <w:rFonts w:ascii="Arial" w:cs="Arial" w:eastAsia="Arial" w:hAnsi="Arial"/>
          <w:sz w:val="19"/>
          <w:szCs w:val="19"/>
          <w:b w:val="1"/>
          <w:bCs w:val="1"/>
          <w:color w:val="auto"/>
        </w:rPr>
        <w:t xml:space="preserve"> </w:t>
      </w:r>
      <w:r>
        <w:rPr>
          <w:rFonts w:ascii="Arial" w:cs="Arial" w:eastAsia="Arial" w:hAnsi="Arial"/>
          <w:sz w:val="20"/>
          <w:szCs w:val="20"/>
          <w:color w:val="auto"/>
        </w:rPr>
        <w:t>from time to time enforce, United States and foreign Intellectual Property Rights and Moral Rights relating to Company Inventions in any and all countries. To that end I will execute, verify and deliver such documents and perform such other acts (including appearances as a witness) as Company may reasonably request for use in applying for, obtaining, perfecting, evidencing, sustaining and enforcing such Intellectual Property Rights and the assignment thereof. In addition, I will execute, verify and deliver assignments of such Intellectual Property Rights to Employer or its designee, including the United States or any third party designated by Employer. My obligation to assist Company with respect to Intellectual Property Rights relating to Company Inventions in any and all countries will continue beyond the termination of my employment, but Company will compensate me at a reasonable rate after such termination for the time actually spent by me at Company’s request on such assistance. In the event Company is unable for any reason, after reasonable effort, to secure my signature on any document needed in connection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9" w:right="239" w:bottom="1440" w:gutter="0" w:footer="0" w:header="0"/>
        </w:sectPr>
      </w:pPr>
    </w:p>
    <w:bookmarkStart w:id="141" w:name="page142"/>
    <w:bookmarkEnd w:id="141"/>
    <w:p>
      <w:pPr>
        <w:jc w:val="both"/>
        <w:spacing w:after="0" w:line="247" w:lineRule="auto"/>
        <w:rPr>
          <w:sz w:val="20"/>
          <w:szCs w:val="20"/>
          <w:color w:val="auto"/>
        </w:rPr>
      </w:pPr>
      <w:r>
        <w:rPr>
          <w:rFonts w:ascii="Arial" w:cs="Arial" w:eastAsia="Arial" w:hAnsi="Arial"/>
          <w:sz w:val="22"/>
          <w:szCs w:val="22"/>
          <w:color w:val="auto"/>
        </w:rPr>
        <w:t>with the actions specified in this paragraph, I hereby irrevocably designate and appoint Employer and its duly authorized officers and agents as my agent and attorney in fact, which appointment is coupled with an interest, to act for and on my behalf to execute, verify and file any such documents and to do all other lawfully permitted acts to further the purposes of the preceding paragraph with the same legal force and effect as if executed by me. I hereby waive and quitclaim to Company any and all claims, of any nature whatsoever, which I now or may hereafter have for infringement of any Intellectual Property Rights assigned under this Agreement to Employer.</w:t>
      </w:r>
    </w:p>
    <w:p>
      <w:pPr>
        <w:spacing w:after="0" w:line="80"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2.9 </w:t>
      </w:r>
      <w:r>
        <w:rPr>
          <w:rFonts w:ascii="Arial" w:cs="Arial" w:eastAsia="Arial" w:hAnsi="Arial"/>
          <w:sz w:val="21"/>
          <w:szCs w:val="21"/>
          <w:b w:val="1"/>
          <w:bCs w:val="1"/>
          <w:color w:val="auto"/>
        </w:rPr>
        <w:t>Incorporation of Software Code</w:t>
      </w:r>
      <w:r>
        <w:rPr>
          <w:rFonts w:ascii="Arial" w:cs="Arial" w:eastAsia="Arial" w:hAnsi="Arial"/>
          <w:sz w:val="21"/>
          <w:szCs w:val="21"/>
          <w:color w:val="auto"/>
        </w:rPr>
        <w:t>. I agree that I will not incorporate into any Inventions, including any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 </w:t>
      </w:r>
      <w:r>
        <w:rPr>
          <w:rFonts w:ascii="Arial" w:cs="Arial" w:eastAsia="Arial" w:hAnsi="Arial"/>
          <w:sz w:val="21"/>
          <w:szCs w:val="21"/>
          <w:b w:val="1"/>
          <w:bCs w:val="1"/>
          <w:color w:val="auto"/>
        </w:rPr>
        <w:t>except</w:t>
      </w:r>
      <w:r>
        <w:rPr>
          <w:rFonts w:ascii="Arial" w:cs="Arial" w:eastAsia="Arial" w:hAnsi="Arial"/>
          <w:sz w:val="21"/>
          <w:szCs w:val="21"/>
          <w:color w:val="auto"/>
        </w:rPr>
        <w:t xml:space="preserve"> in strict compliance with Company’s policies regarding the use of such software.</w:t>
      </w:r>
    </w:p>
    <w:p>
      <w:pPr>
        <w:spacing w:after="0" w:line="56" w:lineRule="exact"/>
        <w:rPr>
          <w:sz w:val="20"/>
          <w:szCs w:val="20"/>
          <w:color w:val="auto"/>
        </w:rPr>
      </w:pPr>
    </w:p>
    <w:p>
      <w:pPr>
        <w:jc w:val="both"/>
        <w:ind w:firstLine="8"/>
        <w:spacing w:after="0" w:line="256" w:lineRule="auto"/>
        <w:tabs>
          <w:tab w:leader="none" w:pos="355" w:val="left"/>
        </w:tabs>
        <w:numPr>
          <w:ilvl w:val="0"/>
          <w:numId w:val="151"/>
        </w:numPr>
        <w:rPr>
          <w:rFonts w:ascii="Arial" w:cs="Arial" w:eastAsia="Arial" w:hAnsi="Arial"/>
          <w:sz w:val="20"/>
          <w:szCs w:val="20"/>
          <w:b w:val="1"/>
          <w:bCs w:val="1"/>
          <w:color w:val="auto"/>
        </w:rPr>
      </w:pPr>
      <w:r>
        <w:rPr>
          <w:rFonts w:ascii="Arial" w:cs="Arial" w:eastAsia="Arial" w:hAnsi="Arial"/>
          <w:sz w:val="22"/>
          <w:szCs w:val="22"/>
          <w:b w:val="1"/>
          <w:bCs w:val="1"/>
          <w:color w:val="auto"/>
        </w:rPr>
        <w:t>Records</w:t>
      </w:r>
      <w:r>
        <w:rPr>
          <w:rFonts w:ascii="Arial" w:cs="Arial" w:eastAsia="Arial" w:hAnsi="Arial"/>
          <w:sz w:val="22"/>
          <w:szCs w:val="22"/>
          <w:color w:val="auto"/>
        </w:rPr>
        <w:t>. I agree to keep and maintain adequate and current records (in the form of notes, sketches, drawings and in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form that is required by Company) of all Confidential Information developed by me and all Company Inventions made by me during the period of my employment at Company, which records will be available to and remain the sole property of Employer at all times.</w:t>
      </w:r>
    </w:p>
    <w:p>
      <w:pPr>
        <w:spacing w:after="0" w:line="176" w:lineRule="exact"/>
        <w:rPr>
          <w:rFonts w:ascii="Arial" w:cs="Arial" w:eastAsia="Arial" w:hAnsi="Arial"/>
          <w:sz w:val="20"/>
          <w:szCs w:val="20"/>
          <w:b w:val="1"/>
          <w:bCs w:val="1"/>
          <w:color w:val="auto"/>
        </w:rPr>
      </w:pPr>
    </w:p>
    <w:p>
      <w:pPr>
        <w:jc w:val="both"/>
        <w:ind w:firstLine="8"/>
        <w:spacing w:after="0" w:line="262" w:lineRule="auto"/>
        <w:tabs>
          <w:tab w:leader="none" w:pos="409" w:val="left"/>
        </w:tabs>
        <w:numPr>
          <w:ilvl w:val="0"/>
          <w:numId w:val="151"/>
        </w:numPr>
        <w:rPr>
          <w:rFonts w:ascii="Arial" w:cs="Arial" w:eastAsia="Arial" w:hAnsi="Arial"/>
          <w:sz w:val="20"/>
          <w:szCs w:val="20"/>
          <w:b w:val="1"/>
          <w:bCs w:val="1"/>
          <w:color w:val="auto"/>
        </w:rPr>
      </w:pPr>
      <w:r>
        <w:rPr>
          <w:rFonts w:ascii="Arial" w:cs="Arial" w:eastAsia="Arial" w:hAnsi="Arial"/>
          <w:sz w:val="22"/>
          <w:szCs w:val="22"/>
          <w:b w:val="1"/>
          <w:bCs w:val="1"/>
          <w:color w:val="auto"/>
        </w:rPr>
        <w:t>Duty of Loyalty During Employment</w:t>
      </w:r>
      <w:r>
        <w:rPr>
          <w:rFonts w:ascii="Arial" w:cs="Arial" w:eastAsia="Arial" w:hAnsi="Arial"/>
          <w:sz w:val="22"/>
          <w:szCs w:val="22"/>
          <w:color w:val="auto"/>
        </w:rPr>
        <w:t>. I agree that during the period of my employment by Company, I will not,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express written consent, directly or indirectly engage in any employment or business activity which is directly or indirectly competitive with, or would otherwise conflict with, my employment by Company.</w:t>
      </w:r>
    </w:p>
    <w:p>
      <w:pPr>
        <w:spacing w:after="0" w:line="62" w:lineRule="exact"/>
        <w:rPr>
          <w:rFonts w:ascii="Arial" w:cs="Arial" w:eastAsia="Arial" w:hAnsi="Arial"/>
          <w:sz w:val="20"/>
          <w:szCs w:val="20"/>
          <w:b w:val="1"/>
          <w:bCs w:val="1"/>
          <w:color w:val="auto"/>
        </w:rPr>
      </w:pPr>
    </w:p>
    <w:p>
      <w:pPr>
        <w:jc w:val="both"/>
        <w:ind w:firstLine="8"/>
        <w:spacing w:after="0" w:line="265" w:lineRule="auto"/>
        <w:tabs>
          <w:tab w:leader="none" w:pos="342" w:val="left"/>
        </w:tabs>
        <w:numPr>
          <w:ilvl w:val="0"/>
          <w:numId w:val="151"/>
        </w:numPr>
        <w:rPr>
          <w:rFonts w:ascii="Arial" w:cs="Arial" w:eastAsia="Arial" w:hAnsi="Arial"/>
          <w:sz w:val="19"/>
          <w:szCs w:val="19"/>
          <w:b w:val="1"/>
          <w:bCs w:val="1"/>
          <w:color w:val="auto"/>
        </w:rPr>
      </w:pPr>
      <w:r>
        <w:rPr>
          <w:rFonts w:ascii="Arial" w:cs="Arial" w:eastAsia="Arial" w:hAnsi="Arial"/>
          <w:sz w:val="21"/>
          <w:szCs w:val="21"/>
          <w:b w:val="1"/>
          <w:bCs w:val="1"/>
          <w:color w:val="auto"/>
        </w:rPr>
        <w:t>No Solicitation of Employees, Consultants or Contractors</w:t>
      </w:r>
      <w:r>
        <w:rPr>
          <w:rFonts w:ascii="Arial" w:cs="Arial" w:eastAsia="Arial" w:hAnsi="Arial"/>
          <w:sz w:val="21"/>
          <w:szCs w:val="21"/>
          <w:color w:val="auto"/>
        </w:rPr>
        <w:t>. I agree that during the period of my employment and for the one</w:t>
      </w:r>
      <w:r>
        <w:rPr>
          <w:rFonts w:ascii="Arial" w:cs="Arial" w:eastAsia="Arial" w:hAnsi="Arial"/>
          <w:sz w:val="21"/>
          <w:szCs w:val="21"/>
          <w:b w:val="1"/>
          <w:bCs w:val="1"/>
          <w:color w:val="auto"/>
        </w:rPr>
        <w:t xml:space="preserve"> </w:t>
      </w:r>
      <w:r>
        <w:rPr>
          <w:rFonts w:ascii="Arial" w:cs="Arial" w:eastAsia="Arial" w:hAnsi="Arial"/>
          <w:sz w:val="21"/>
          <w:szCs w:val="21"/>
          <w:color w:val="auto"/>
        </w:rPr>
        <w:t>year period after the date my employment ends for any reason, including but not limited to voluntary termination by me or involuntary termination by Company, I will not, as an officer, director, employee, consultant, owner, partner, or in any other capacity, either directly or through others, except on behalf of Company, solicit, induce, encourage, or participate in soliciting, inducing or encouraging any person known to me to be an employee, consultant, or independent contractor of Company to terminate his or her relationship with Company, even if I did not initiate the discussion or seek out the contact.</w:t>
      </w:r>
    </w:p>
    <w:p>
      <w:pPr>
        <w:spacing w:after="0" w:line="61" w:lineRule="exact"/>
        <w:rPr>
          <w:rFonts w:ascii="Arial" w:cs="Arial" w:eastAsia="Arial" w:hAnsi="Arial"/>
          <w:sz w:val="19"/>
          <w:szCs w:val="19"/>
          <w:b w:val="1"/>
          <w:bCs w:val="1"/>
          <w:color w:val="auto"/>
        </w:rPr>
      </w:pPr>
    </w:p>
    <w:p>
      <w:pPr>
        <w:ind w:left="340" w:hanging="332"/>
        <w:spacing w:after="0"/>
        <w:tabs>
          <w:tab w:leader="none" w:pos="340" w:val="left"/>
        </w:tabs>
        <w:numPr>
          <w:ilvl w:val="0"/>
          <w:numId w:val="151"/>
        </w:numPr>
        <w:rPr>
          <w:rFonts w:ascii="Arial" w:cs="Arial" w:eastAsia="Arial" w:hAnsi="Arial"/>
          <w:sz w:val="20"/>
          <w:szCs w:val="20"/>
          <w:b w:val="1"/>
          <w:bCs w:val="1"/>
          <w:color w:val="auto"/>
        </w:rPr>
      </w:pPr>
      <w:r>
        <w:rPr>
          <w:rFonts w:ascii="Arial" w:cs="Arial" w:eastAsia="Arial" w:hAnsi="Arial"/>
          <w:sz w:val="22"/>
          <w:szCs w:val="22"/>
          <w:b w:val="1"/>
          <w:bCs w:val="1"/>
          <w:color w:val="auto"/>
        </w:rPr>
        <w:t>Reasonableness of Restrictions</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20"/>
          <w:szCs w:val="20"/>
          <w:color w:val="auto"/>
        </w:rPr>
        <w:t>I agree that I have read this entire Agreement and understand it. I agree that this Agreement does not prevent me from</w:t>
      </w:r>
      <w:r>
        <w:rPr>
          <w:rFonts w:ascii="Arial" w:cs="Arial" w:eastAsia="Arial" w:hAnsi="Arial"/>
          <w:sz w:val="19"/>
          <w:szCs w:val="19"/>
          <w:b w:val="1"/>
          <w:bCs w:val="1"/>
          <w:color w:val="auto"/>
        </w:rPr>
        <w:t xml:space="preserve"> </w:t>
      </w:r>
      <w:r>
        <w:rPr>
          <w:rFonts w:ascii="Arial" w:cs="Arial" w:eastAsia="Arial" w:hAnsi="Arial"/>
          <w:sz w:val="20"/>
          <w:szCs w:val="20"/>
          <w:color w:val="auto"/>
        </w:rPr>
        <w:t>earning a living or pursuing my career. I agree that the restrictions contained in this Agreement are reasonable, proper, and necessitated by Company’s legitimate business interests. I represent and agree that I am entering into this Agreement freely and with knowledge of its contents with the intent to be bound by the Agreement and the restrictions contained in it.</w:t>
      </w:r>
    </w:p>
    <w:p>
      <w:pPr>
        <w:spacing w:after="0" w:line="1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1"/>
          <w:szCs w:val="21"/>
          <w:color w:val="auto"/>
        </w:rPr>
        <w:t>In the event that a court finds this Agreement, or any of its restrictions, to be ambiguous, unenforceable, or invalid, I</w:t>
      </w:r>
      <w:r>
        <w:rPr>
          <w:rFonts w:ascii="Arial" w:cs="Arial" w:eastAsia="Arial" w:hAnsi="Arial"/>
          <w:sz w:val="20"/>
          <w:szCs w:val="20"/>
          <w:b w:val="1"/>
          <w:bCs w:val="1"/>
          <w:color w:val="auto"/>
        </w:rPr>
        <w:t xml:space="preserve"> </w:t>
      </w:r>
      <w:r>
        <w:rPr>
          <w:rFonts w:ascii="Arial" w:cs="Arial" w:eastAsia="Arial" w:hAnsi="Arial"/>
          <w:sz w:val="21"/>
          <w:szCs w:val="21"/>
          <w:color w:val="auto"/>
        </w:rPr>
        <w:t>and Company agree that the court will read the Agreement as a whole and interpret the restriction(s) at issue to be enforceable and valid to the maximum extent allowed by law.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75" w:right="239" w:bottom="1440" w:gutter="0" w:footer="0" w:header="0"/>
        </w:sectPr>
      </w:pPr>
    </w:p>
    <w:bookmarkStart w:id="142" w:name="page143"/>
    <w:bookmarkEnd w:id="142"/>
    <w:p>
      <w:pPr>
        <w:jc w:val="both"/>
        <w:ind w:firstLine="648"/>
        <w:spacing w:after="0" w:line="278" w:lineRule="auto"/>
        <w:rPr>
          <w:sz w:val="20"/>
          <w:szCs w:val="20"/>
          <w:color w:val="auto"/>
        </w:rPr>
      </w:pPr>
      <w:r>
        <w:rPr>
          <w:rFonts w:ascii="Arial" w:cs="Arial" w:eastAsia="Arial" w:hAnsi="Arial"/>
          <w:sz w:val="20"/>
          <w:szCs w:val="20"/>
          <w:b w:val="1"/>
          <w:bCs w:val="1"/>
          <w:color w:val="auto"/>
        </w:rPr>
        <w:t xml:space="preserve">6.3 </w:t>
      </w:r>
      <w:r>
        <w:rPr>
          <w:rFonts w:ascii="Arial" w:cs="Arial" w:eastAsia="Arial" w:hAnsi="Arial"/>
          <w:sz w:val="21"/>
          <w:szCs w:val="21"/>
          <w:color w:val="auto"/>
        </w:rPr>
        <w:t>If the court declines to enforce this Agreement in the manner provided in subsection 6.2 and/or Section 12.1,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and I agree that this Agreement will be automatically modified to provide Company with the maximum protection of its business interests allowed by law and I agree to be bound by this Agreement as modified.</w:t>
      </w:r>
    </w:p>
    <w:p>
      <w:pPr>
        <w:spacing w:after="0" w:line="154" w:lineRule="exact"/>
        <w:rPr>
          <w:sz w:val="20"/>
          <w:szCs w:val="20"/>
          <w:color w:val="auto"/>
        </w:rPr>
      </w:pPr>
    </w:p>
    <w:p>
      <w:pPr>
        <w:jc w:val="both"/>
        <w:ind w:firstLine="8"/>
        <w:spacing w:after="0" w:line="256" w:lineRule="auto"/>
        <w:tabs>
          <w:tab w:leader="none" w:pos="436" w:val="left"/>
        </w:tabs>
        <w:numPr>
          <w:ilvl w:val="0"/>
          <w:numId w:val="152"/>
        </w:numPr>
        <w:rPr>
          <w:rFonts w:ascii="Arial" w:cs="Arial" w:eastAsia="Arial" w:hAnsi="Arial"/>
          <w:sz w:val="20"/>
          <w:szCs w:val="20"/>
          <w:b w:val="1"/>
          <w:bCs w:val="1"/>
          <w:color w:val="auto"/>
        </w:rPr>
      </w:pPr>
      <w:r>
        <w:rPr>
          <w:rFonts w:ascii="Arial" w:cs="Arial" w:eastAsia="Arial" w:hAnsi="Arial"/>
          <w:sz w:val="22"/>
          <w:szCs w:val="22"/>
          <w:b w:val="1"/>
          <w:bCs w:val="1"/>
          <w:color w:val="auto"/>
        </w:rPr>
        <w:t>No Conflicting Agreement or Obligation</w:t>
      </w:r>
      <w:r>
        <w:rPr>
          <w:rFonts w:ascii="Arial" w:cs="Arial" w:eastAsia="Arial" w:hAnsi="Arial"/>
          <w:sz w:val="22"/>
          <w:szCs w:val="22"/>
          <w:color w:val="auto"/>
        </w:rPr>
        <w:t>. I represent that my performance of all the terms of this Agreement and as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Company does not and will not breach any agreement to keep in confidence information acquired by me in confidence or in trust prior to my employment by Company. I have not entered into, and I agree I will not enter into, any agreement either written or oral in conflict with this Agreement.</w:t>
      </w:r>
    </w:p>
    <w:p>
      <w:pPr>
        <w:spacing w:after="0" w:line="68" w:lineRule="exact"/>
        <w:rPr>
          <w:rFonts w:ascii="Arial" w:cs="Arial" w:eastAsia="Arial" w:hAnsi="Arial"/>
          <w:sz w:val="20"/>
          <w:szCs w:val="20"/>
          <w:b w:val="1"/>
          <w:bCs w:val="1"/>
          <w:color w:val="auto"/>
        </w:rPr>
      </w:pPr>
    </w:p>
    <w:p>
      <w:pPr>
        <w:jc w:val="both"/>
        <w:ind w:firstLine="8"/>
        <w:spacing w:after="0" w:line="259" w:lineRule="auto"/>
        <w:tabs>
          <w:tab w:leader="none" w:pos="342" w:val="left"/>
        </w:tabs>
        <w:numPr>
          <w:ilvl w:val="0"/>
          <w:numId w:val="152"/>
        </w:numPr>
        <w:rPr>
          <w:rFonts w:ascii="Arial" w:cs="Arial" w:eastAsia="Arial" w:hAnsi="Arial"/>
          <w:sz w:val="19"/>
          <w:szCs w:val="19"/>
          <w:b w:val="1"/>
          <w:bCs w:val="1"/>
          <w:color w:val="auto"/>
        </w:rPr>
      </w:pPr>
      <w:r>
        <w:rPr>
          <w:rFonts w:ascii="Arial" w:cs="Arial" w:eastAsia="Arial" w:hAnsi="Arial"/>
          <w:sz w:val="21"/>
          <w:szCs w:val="21"/>
          <w:b w:val="1"/>
          <w:bCs w:val="1"/>
          <w:color w:val="auto"/>
        </w:rPr>
        <w:t>Return of Company Property</w:t>
      </w:r>
      <w:r>
        <w:rPr>
          <w:rFonts w:ascii="Arial" w:cs="Arial" w:eastAsia="Arial" w:hAnsi="Arial"/>
          <w:sz w:val="21"/>
          <w:szCs w:val="21"/>
          <w:color w:val="auto"/>
        </w:rPr>
        <w:t>. When I leave the employ of Company, I will deliver to Employer any and all drawings, notes,</w:t>
      </w:r>
      <w:r>
        <w:rPr>
          <w:rFonts w:ascii="Arial" w:cs="Arial" w:eastAsia="Arial" w:hAnsi="Arial"/>
          <w:sz w:val="21"/>
          <w:szCs w:val="21"/>
          <w:b w:val="1"/>
          <w:bCs w:val="1"/>
          <w:color w:val="auto"/>
        </w:rPr>
        <w:t xml:space="preserve"> </w:t>
      </w:r>
      <w:r>
        <w:rPr>
          <w:rFonts w:ascii="Arial" w:cs="Arial" w:eastAsia="Arial" w:hAnsi="Arial"/>
          <w:sz w:val="21"/>
          <w:szCs w:val="21"/>
          <w:color w:val="auto"/>
        </w:rPr>
        <w:t>memoranda, specifications, devices, formulas and documents, together with all copies thereof, and any other material containing or disclosing any Company Inventions, Third Party Information or Confidential Information.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Company with a computer-useable copy of all such information and then permanently delete and expunge such information from those systems; and I agree to provide Company access to my system as reasonably requested to verify that the necessary copying and/or deletion is completed. I further agree that any property situated on Company’s premises and owned by Company, including disks and other storage media, filing cabinets or other work areas, is subject to inspection by Company’s personnel at any time with or without notice. Prior to leaving, I will cooperate with Company in attending an exit interview and completing and signing Company’s termination statement if required to do so by Company.</w:t>
      </w:r>
    </w:p>
    <w:p>
      <w:pPr>
        <w:spacing w:after="0" w:line="73" w:lineRule="exact"/>
        <w:rPr>
          <w:rFonts w:ascii="Arial" w:cs="Arial" w:eastAsia="Arial" w:hAnsi="Arial"/>
          <w:sz w:val="19"/>
          <w:szCs w:val="19"/>
          <w:b w:val="1"/>
          <w:bCs w:val="1"/>
          <w:color w:val="auto"/>
        </w:rPr>
      </w:pPr>
    </w:p>
    <w:p>
      <w:pPr>
        <w:ind w:left="340" w:hanging="332"/>
        <w:spacing w:after="0"/>
        <w:tabs>
          <w:tab w:leader="none" w:pos="340" w:val="left"/>
        </w:tabs>
        <w:numPr>
          <w:ilvl w:val="0"/>
          <w:numId w:val="152"/>
        </w:numPr>
        <w:rPr>
          <w:rFonts w:ascii="Arial" w:cs="Arial" w:eastAsia="Arial" w:hAnsi="Arial"/>
          <w:sz w:val="20"/>
          <w:szCs w:val="20"/>
          <w:b w:val="1"/>
          <w:bCs w:val="1"/>
          <w:color w:val="auto"/>
        </w:rPr>
      </w:pPr>
      <w:r>
        <w:rPr>
          <w:rFonts w:ascii="Arial" w:cs="Arial" w:eastAsia="Arial" w:hAnsi="Arial"/>
          <w:sz w:val="22"/>
          <w:szCs w:val="22"/>
          <w:b w:val="1"/>
          <w:bCs w:val="1"/>
          <w:color w:val="auto"/>
        </w:rPr>
        <w:t>Legal and Equitable Remedies</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1"/>
          <w:szCs w:val="21"/>
          <w:color w:val="auto"/>
        </w:rPr>
        <w:t>I agree that it may be impossible to assess the damages caused by my violation of this Agreement or any of its terms. I</w:t>
      </w:r>
      <w:r>
        <w:rPr>
          <w:rFonts w:ascii="Arial" w:cs="Arial" w:eastAsia="Arial" w:hAnsi="Arial"/>
          <w:sz w:val="20"/>
          <w:szCs w:val="20"/>
          <w:b w:val="1"/>
          <w:bCs w:val="1"/>
          <w:color w:val="auto"/>
        </w:rPr>
        <w:t xml:space="preserve"> </w:t>
      </w:r>
      <w:r>
        <w:rPr>
          <w:rFonts w:ascii="Arial" w:cs="Arial" w:eastAsia="Arial" w:hAnsi="Arial"/>
          <w:sz w:val="21"/>
          <w:szCs w:val="21"/>
          <w:color w:val="auto"/>
        </w:rPr>
        <w:t>agree that any threatened or actual violation of this Agreement or any of its terms will constitute immediate and irreparable injury to Company, and Company will have the right to enforce this Agreement and any of its provisions by injunction, specific performance or other equitable relief, without bond and without prejudice to any other rights and remedies that Company may have for a breach or threatened breach of this Agreement.</w:t>
      </w:r>
    </w:p>
    <w:p>
      <w:pPr>
        <w:spacing w:after="0" w:line="1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0"/>
          <w:szCs w:val="20"/>
          <w:b w:val="1"/>
          <w:bCs w:val="1"/>
          <w:color w:val="auto"/>
        </w:rPr>
        <w:t xml:space="preserve">9.2 </w:t>
      </w:r>
      <w:r>
        <w:rPr>
          <w:rFonts w:ascii="Arial" w:cs="Arial" w:eastAsia="Arial" w:hAnsi="Arial"/>
          <w:sz w:val="21"/>
          <w:szCs w:val="21"/>
          <w:color w:val="auto"/>
        </w:rPr>
        <w:t>In the event Company enforces this Agreement through a court order, I agree that the restrictions of Section 5 will</w:t>
      </w:r>
      <w:r>
        <w:rPr>
          <w:rFonts w:ascii="Arial" w:cs="Arial" w:eastAsia="Arial" w:hAnsi="Arial"/>
          <w:sz w:val="20"/>
          <w:szCs w:val="20"/>
          <w:b w:val="1"/>
          <w:bCs w:val="1"/>
          <w:color w:val="auto"/>
        </w:rPr>
        <w:t xml:space="preserve"> </w:t>
      </w:r>
      <w:r>
        <w:rPr>
          <w:rFonts w:ascii="Arial" w:cs="Arial" w:eastAsia="Arial" w:hAnsi="Arial"/>
          <w:sz w:val="21"/>
          <w:szCs w:val="21"/>
          <w:color w:val="auto"/>
        </w:rPr>
        <w:t>remain in effect for a period of 12 months from the effective date of the Order enforcing the Agreement.</w:t>
      </w:r>
    </w:p>
    <w:p>
      <w:pPr>
        <w:spacing w:after="0" w:line="131" w:lineRule="exact"/>
        <w:rPr>
          <w:sz w:val="20"/>
          <w:szCs w:val="20"/>
          <w:color w:val="auto"/>
        </w:rPr>
      </w:pPr>
    </w:p>
    <w:p>
      <w:pPr>
        <w:jc w:val="both"/>
        <w:ind w:firstLine="8"/>
        <w:spacing w:after="0" w:line="298" w:lineRule="auto"/>
        <w:tabs>
          <w:tab w:leader="none" w:pos="441" w:val="left"/>
        </w:tabs>
        <w:numPr>
          <w:ilvl w:val="0"/>
          <w:numId w:val="153"/>
        </w:numPr>
        <w:rPr>
          <w:rFonts w:ascii="Arial" w:cs="Arial" w:eastAsia="Arial" w:hAnsi="Arial"/>
          <w:sz w:val="18"/>
          <w:szCs w:val="18"/>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notices required or permitted under this Agreement will be given to Company at its headquarters location at the</w:t>
      </w:r>
      <w:r>
        <w:rPr>
          <w:rFonts w:ascii="Arial" w:cs="Arial" w:eastAsia="Arial" w:hAnsi="Arial"/>
          <w:sz w:val="19"/>
          <w:szCs w:val="19"/>
          <w:b w:val="1"/>
          <w:bCs w:val="1"/>
          <w:color w:val="auto"/>
        </w:rPr>
        <w:t xml:space="preserve"> </w:t>
      </w:r>
      <w:r>
        <w:rPr>
          <w:rFonts w:ascii="Arial" w:cs="Arial" w:eastAsia="Arial" w:hAnsi="Arial"/>
          <w:sz w:val="19"/>
          <w:szCs w:val="19"/>
          <w:color w:val="auto"/>
        </w:rPr>
        <w:t>time notice is given, labeled “Attention Chief Executive Officer,” and to me at my address as listed on Company payroll, or at such other address as Company or I may designate by written notice to the other. Notice will be effective upon receipt or refusal of delivery. If delivered by certified or registered mail, notice will be considered to have been given five business days after it was mailed, as evidenced by the postmark. If delivered by courier or express mail service, notice will be considered to have been given on the delivery date reflected by the courier or express mail service receipt.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75" w:right="239" w:bottom="1440" w:gutter="0" w:footer="0" w:header="0"/>
        </w:sectPr>
      </w:pPr>
    </w:p>
    <w:bookmarkStart w:id="143" w:name="page144"/>
    <w:bookmarkEnd w:id="143"/>
    <w:p>
      <w:pPr>
        <w:ind w:left="420" w:hanging="412"/>
        <w:spacing w:after="0"/>
        <w:tabs>
          <w:tab w:leader="none" w:pos="420" w:val="left"/>
        </w:tabs>
        <w:numPr>
          <w:ilvl w:val="0"/>
          <w:numId w:val="154"/>
        </w:numPr>
        <w:rPr>
          <w:rFonts w:ascii="Arial" w:cs="Arial" w:eastAsia="Arial" w:hAnsi="Arial"/>
          <w:sz w:val="20"/>
          <w:szCs w:val="20"/>
          <w:b w:val="1"/>
          <w:bCs w:val="1"/>
          <w:color w:val="auto"/>
        </w:rPr>
      </w:pPr>
      <w:r>
        <w:rPr>
          <w:rFonts w:ascii="Arial" w:cs="Arial" w:eastAsia="Arial" w:hAnsi="Arial"/>
          <w:sz w:val="22"/>
          <w:szCs w:val="22"/>
          <w:b w:val="1"/>
          <w:bCs w:val="1"/>
          <w:color w:val="auto"/>
        </w:rPr>
        <w:t>Publication of This Agreement to Subsequent Employer or Business Associates of Employee</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20"/>
          <w:szCs w:val="20"/>
          <w:color w:val="auto"/>
        </w:rPr>
        <w:t>If I am offered employment or the opportunity to enter into any business venture as owner, partner, consultant or other</w:t>
      </w:r>
      <w:r>
        <w:rPr>
          <w:rFonts w:ascii="Arial" w:cs="Arial" w:eastAsia="Arial" w:hAnsi="Arial"/>
          <w:sz w:val="19"/>
          <w:szCs w:val="19"/>
          <w:b w:val="1"/>
          <w:bCs w:val="1"/>
          <w:color w:val="auto"/>
        </w:rPr>
        <w:t xml:space="preserve"> </w:t>
      </w:r>
      <w:r>
        <w:rPr>
          <w:rFonts w:ascii="Arial" w:cs="Arial" w:eastAsia="Arial" w:hAnsi="Arial"/>
          <w:sz w:val="20"/>
          <w:szCs w:val="20"/>
          <w:color w:val="auto"/>
        </w:rPr>
        <w:t>capacity while the restrictions described in Sections 4 and 5 of this Agreement are in effect I agree to inform my potential employer, partner, co-owner and/or others involved in managing the business with which I have an opportunity to be associated of my obligations under this Agreement and also agree to provide such person or persons with a copy of this Agreement.</w:t>
      </w:r>
    </w:p>
    <w:p>
      <w:pPr>
        <w:spacing w:after="0" w:line="1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b w:val="1"/>
          <w:bCs w:val="1"/>
          <w:color w:val="auto"/>
        </w:rPr>
        <w:t xml:space="preserve">11.2 </w:t>
      </w:r>
      <w:r>
        <w:rPr>
          <w:rFonts w:ascii="Arial" w:cs="Arial" w:eastAsia="Arial" w:hAnsi="Arial"/>
          <w:sz w:val="21"/>
          <w:szCs w:val="21"/>
          <w:color w:val="auto"/>
        </w:rPr>
        <w:t>I agree to inform Company of all employment and business ventures which I enter into while the restrictions</w:t>
      </w:r>
      <w:r>
        <w:rPr>
          <w:rFonts w:ascii="Arial" w:cs="Arial" w:eastAsia="Arial" w:hAnsi="Arial"/>
          <w:sz w:val="20"/>
          <w:szCs w:val="20"/>
          <w:b w:val="1"/>
          <w:bCs w:val="1"/>
          <w:color w:val="auto"/>
        </w:rPr>
        <w:t xml:space="preserve"> </w:t>
      </w:r>
      <w:r>
        <w:rPr>
          <w:rFonts w:ascii="Arial" w:cs="Arial" w:eastAsia="Arial" w:hAnsi="Arial"/>
          <w:sz w:val="21"/>
          <w:szCs w:val="21"/>
          <w:color w:val="auto"/>
        </w:rPr>
        <w:t>described in Section 5 of this Agreement are in effect and I also authorize Company to provide copies of this Agreement to my employer, partner, co-owner and/or others involved in managing the business with which I am employed or associated and to make such persons aware of my obligations under this Agreement.</w:t>
      </w:r>
    </w:p>
    <w:p>
      <w:pPr>
        <w:spacing w:after="0" w:line="163" w:lineRule="exact"/>
        <w:rPr>
          <w:sz w:val="20"/>
          <w:szCs w:val="20"/>
          <w:color w:val="auto"/>
        </w:rPr>
      </w:pPr>
    </w:p>
    <w:p>
      <w:pPr>
        <w:ind w:left="440" w:hanging="432"/>
        <w:spacing w:after="0"/>
        <w:tabs>
          <w:tab w:leader="none" w:pos="440" w:val="left"/>
        </w:tabs>
        <w:numPr>
          <w:ilvl w:val="0"/>
          <w:numId w:val="155"/>
        </w:numPr>
        <w:rPr>
          <w:rFonts w:ascii="Arial" w:cs="Arial" w:eastAsia="Arial" w:hAnsi="Arial"/>
          <w:sz w:val="20"/>
          <w:szCs w:val="20"/>
          <w:b w:val="1"/>
          <w:bCs w:val="1"/>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12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20"/>
          <w:szCs w:val="20"/>
          <w:b w:val="1"/>
          <w:bCs w:val="1"/>
          <w:color w:val="auto"/>
        </w:rPr>
        <w:t>Governing Law; Consent to Personal Jurisdiction</w:t>
      </w:r>
      <w:r>
        <w:rPr>
          <w:rFonts w:ascii="Arial" w:cs="Arial" w:eastAsia="Arial" w:hAnsi="Arial"/>
          <w:sz w:val="20"/>
          <w:szCs w:val="20"/>
          <w:color w:val="auto"/>
        </w:rPr>
        <w:t>. This Agreement will be governed by and construed according to</w:t>
      </w:r>
      <w:r>
        <w:rPr>
          <w:rFonts w:ascii="Arial" w:cs="Arial" w:eastAsia="Arial" w:hAnsi="Arial"/>
          <w:sz w:val="19"/>
          <w:szCs w:val="19"/>
          <w:b w:val="1"/>
          <w:bCs w:val="1"/>
          <w:color w:val="auto"/>
        </w:rPr>
        <w:t xml:space="preserve"> </w:t>
      </w:r>
      <w:r>
        <w:rPr>
          <w:rFonts w:ascii="Arial" w:cs="Arial" w:eastAsia="Arial" w:hAnsi="Arial"/>
          <w:sz w:val="20"/>
          <w:szCs w:val="20"/>
          <w:color w:val="auto"/>
        </w:rPr>
        <w:t>the laws of the State of California without regard to any conflict of laws principles that would require the application of the laws of a different jurisdiction. I hereby expressly consent to the personal jurisdiction and venue of the state and federal courts located in California for any lawsuit filed there against me by Company arising from or related to this Agreement.</w:t>
      </w:r>
    </w:p>
    <w:p>
      <w:pPr>
        <w:spacing w:after="0" w:line="3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9"/>
          <w:szCs w:val="19"/>
          <w:b w:val="1"/>
          <w:bCs w:val="1"/>
          <w:color w:val="auto"/>
        </w:rPr>
        <w:t>Severability</w:t>
      </w:r>
      <w:r>
        <w:rPr>
          <w:rFonts w:ascii="Arial" w:cs="Arial" w:eastAsia="Arial" w:hAnsi="Arial"/>
          <w:sz w:val="19"/>
          <w:szCs w:val="19"/>
          <w:color w:val="auto"/>
        </w:rPr>
        <w:t>. In case any one or more of the provisions, subsections, or sentences contained in this Agreement will,</w:t>
      </w:r>
      <w:r>
        <w:rPr>
          <w:rFonts w:ascii="Arial" w:cs="Arial" w:eastAsia="Arial" w:hAnsi="Arial"/>
          <w:sz w:val="18"/>
          <w:szCs w:val="18"/>
          <w:b w:val="1"/>
          <w:bCs w:val="1"/>
          <w:color w:val="auto"/>
        </w:rPr>
        <w:t xml:space="preserve"> </w:t>
      </w:r>
      <w:r>
        <w:rPr>
          <w:rFonts w:ascii="Arial" w:cs="Arial" w:eastAsia="Arial" w:hAnsi="Arial"/>
          <w:sz w:val="19"/>
          <w:szCs w:val="19"/>
          <w:color w:val="auto"/>
        </w:rPr>
        <w:t>for any reason, be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moreover, any one or more of the provisions contained in this Agreement will for any reason be held to be excessively broad as to duration, geographical scope, activity or subject, it will be construed by limiting and reducing it, so as to be enforceable to the extent compatible with the applicable law as it will then appear.</w:t>
      </w:r>
    </w:p>
    <w:p>
      <w:pPr>
        <w:spacing w:after="0" w:line="141"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1"/>
          <w:szCs w:val="21"/>
          <w:b w:val="1"/>
          <w:bCs w:val="1"/>
          <w:color w:val="auto"/>
        </w:rPr>
        <w:t>Successors and Assigns</w:t>
      </w:r>
      <w:r>
        <w:rPr>
          <w:rFonts w:ascii="Arial" w:cs="Arial" w:eastAsia="Arial" w:hAnsi="Arial"/>
          <w:sz w:val="21"/>
          <w:szCs w:val="21"/>
          <w:color w:val="auto"/>
        </w:rPr>
        <w:t>. This Agreement is for my benefit and the benefit of Company and its and their successors,</w:t>
      </w:r>
      <w:r>
        <w:rPr>
          <w:rFonts w:ascii="Arial" w:cs="Arial" w:eastAsia="Arial" w:hAnsi="Arial"/>
          <w:sz w:val="20"/>
          <w:szCs w:val="20"/>
          <w:b w:val="1"/>
          <w:bCs w:val="1"/>
          <w:color w:val="auto"/>
        </w:rPr>
        <w:t xml:space="preserve"> </w:t>
      </w:r>
      <w:r>
        <w:rPr>
          <w:rFonts w:ascii="Arial" w:cs="Arial" w:eastAsia="Arial" w:hAnsi="Arial"/>
          <w:sz w:val="21"/>
          <w:szCs w:val="21"/>
          <w:color w:val="auto"/>
        </w:rPr>
        <w:t>assigns, parent corporations, subsidiaries, affiliates, and purchasers, and will be binding upon my heirs, executors, administrators and other legal representatives.</w:t>
      </w:r>
    </w:p>
    <w:p>
      <w:pPr>
        <w:spacing w:after="0" w:line="43"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1"/>
          <w:szCs w:val="21"/>
          <w:b w:val="1"/>
          <w:bCs w:val="1"/>
          <w:color w:val="auto"/>
        </w:rPr>
        <w:t>Survival</w:t>
      </w:r>
      <w:r>
        <w:rPr>
          <w:rFonts w:ascii="Arial" w:cs="Arial" w:eastAsia="Arial" w:hAnsi="Arial"/>
          <w:sz w:val="21"/>
          <w:szCs w:val="21"/>
          <w:color w:val="auto"/>
        </w:rPr>
        <w:t>. This Agreement will survive the termination of my employment, regardless of the reason, and the assignment</w:t>
      </w:r>
      <w:r>
        <w:rPr>
          <w:rFonts w:ascii="Arial" w:cs="Arial" w:eastAsia="Arial" w:hAnsi="Arial"/>
          <w:sz w:val="20"/>
          <w:szCs w:val="20"/>
          <w:b w:val="1"/>
          <w:bCs w:val="1"/>
          <w:color w:val="auto"/>
        </w:rPr>
        <w:t xml:space="preserve"> </w:t>
      </w:r>
      <w:r>
        <w:rPr>
          <w:rFonts w:ascii="Arial" w:cs="Arial" w:eastAsia="Arial" w:hAnsi="Arial"/>
          <w:sz w:val="21"/>
          <w:szCs w:val="21"/>
          <w:color w:val="auto"/>
        </w:rPr>
        <w:t>of this Agreement by Company to any successor in interest or other assignee.</w:t>
      </w:r>
    </w:p>
    <w:p>
      <w:pPr>
        <w:spacing w:after="0" w:line="1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12.4 </w:t>
      </w:r>
      <w:r>
        <w:rPr>
          <w:rFonts w:ascii="Arial" w:cs="Arial" w:eastAsia="Arial" w:hAnsi="Arial"/>
          <w:sz w:val="21"/>
          <w:szCs w:val="21"/>
          <w:b w:val="1"/>
          <w:bCs w:val="1"/>
          <w:color w:val="auto"/>
        </w:rPr>
        <w:t>Employment At-Will</w:t>
      </w:r>
      <w:r>
        <w:rPr>
          <w:rFonts w:ascii="Arial" w:cs="Arial" w:eastAsia="Arial" w:hAnsi="Arial"/>
          <w:sz w:val="21"/>
          <w:szCs w:val="21"/>
          <w:color w:val="auto"/>
        </w:rPr>
        <w:t>. I agree and understand that nothing in this Agreement will change my at-will employment status</w:t>
      </w:r>
      <w:r>
        <w:rPr>
          <w:rFonts w:ascii="Arial" w:cs="Arial" w:eastAsia="Arial" w:hAnsi="Arial"/>
          <w:sz w:val="20"/>
          <w:szCs w:val="20"/>
          <w:b w:val="1"/>
          <w:bCs w:val="1"/>
          <w:color w:val="auto"/>
        </w:rPr>
        <w:t xml:space="preserve"> </w:t>
      </w:r>
      <w:r>
        <w:rPr>
          <w:rFonts w:ascii="Arial" w:cs="Arial" w:eastAsia="Arial" w:hAnsi="Arial"/>
          <w:sz w:val="21"/>
          <w:szCs w:val="21"/>
          <w:color w:val="auto"/>
        </w:rPr>
        <w:t>or confer any right with respect to continuation of employment by Company, nor will it interfere in any way with my right or Company’s right to terminate my employment at any time, with or without cause or advance notice.</w:t>
      </w:r>
    </w:p>
    <w:p>
      <w:pPr>
        <w:spacing w:after="0" w:line="43"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20"/>
          <w:szCs w:val="20"/>
          <w:b w:val="1"/>
          <w:bCs w:val="1"/>
          <w:color w:val="auto"/>
        </w:rPr>
        <w:t xml:space="preserve">12.5 </w:t>
      </w:r>
      <w:r>
        <w:rPr>
          <w:rFonts w:ascii="Arial" w:cs="Arial" w:eastAsia="Arial" w:hAnsi="Arial"/>
          <w:sz w:val="21"/>
          <w:szCs w:val="21"/>
          <w:b w:val="1"/>
          <w:bCs w:val="1"/>
          <w:color w:val="auto"/>
        </w:rPr>
        <w:t>Waiver</w:t>
      </w:r>
      <w:r>
        <w:rPr>
          <w:rFonts w:ascii="Arial" w:cs="Arial" w:eastAsia="Arial" w:hAnsi="Arial"/>
          <w:sz w:val="21"/>
          <w:szCs w:val="21"/>
          <w:color w:val="auto"/>
        </w:rPr>
        <w:t>. No waiver by Company of any breach of this Agreement will be a waiver of any preceding or succeeding</w:t>
      </w:r>
      <w:r>
        <w:rPr>
          <w:rFonts w:ascii="Arial" w:cs="Arial" w:eastAsia="Arial" w:hAnsi="Arial"/>
          <w:sz w:val="20"/>
          <w:szCs w:val="20"/>
          <w:b w:val="1"/>
          <w:bCs w:val="1"/>
          <w:color w:val="auto"/>
        </w:rPr>
        <w:t xml:space="preserve"> </w:t>
      </w:r>
      <w:r>
        <w:rPr>
          <w:rFonts w:ascii="Arial" w:cs="Arial" w:eastAsia="Arial" w:hAnsi="Arial"/>
          <w:sz w:val="21"/>
          <w:szCs w:val="21"/>
          <w:color w:val="auto"/>
        </w:rPr>
        <w:t>breach. No waiver by Company of any right under this Agreement will be construed as a waiver of any other right. Company will not be required to give notice to enforce strict adherence to all terms of this Agreement.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369" w:right="239" w:bottom="1440" w:gutter="0" w:footer="0" w:header="0"/>
        </w:sectPr>
      </w:pPr>
    </w:p>
    <w:bookmarkStart w:id="144" w:name="page145"/>
    <w:bookmarkEnd w:id="144"/>
    <w:p>
      <w:pPr>
        <w:jc w:val="both"/>
        <w:ind w:firstLine="392"/>
        <w:spacing w:after="0" w:line="307" w:lineRule="auto"/>
        <w:rPr>
          <w:sz w:val="20"/>
          <w:szCs w:val="20"/>
          <w:color w:val="auto"/>
        </w:rPr>
      </w:pPr>
      <w:r>
        <w:rPr>
          <w:rFonts w:ascii="Arial" w:cs="Arial" w:eastAsia="Arial" w:hAnsi="Arial"/>
          <w:sz w:val="20"/>
          <w:szCs w:val="20"/>
          <w:b w:val="1"/>
          <w:bCs w:val="1"/>
          <w:color w:val="auto"/>
        </w:rPr>
        <w:t xml:space="preserve">12.6 </w:t>
      </w:r>
      <w:r>
        <w:rPr>
          <w:rFonts w:ascii="Arial" w:cs="Arial" w:eastAsia="Arial" w:hAnsi="Arial"/>
          <w:sz w:val="21"/>
          <w:szCs w:val="21"/>
          <w:b w:val="1"/>
          <w:bCs w:val="1"/>
          <w:color w:val="auto"/>
        </w:rPr>
        <w:t>Export</w:t>
      </w:r>
      <w:r>
        <w:rPr>
          <w:rFonts w:ascii="Arial" w:cs="Arial" w:eastAsia="Arial" w:hAnsi="Arial"/>
          <w:sz w:val="21"/>
          <w:szCs w:val="21"/>
          <w:color w:val="auto"/>
        </w:rPr>
        <w:t>. I agree not to export, reexport, or transfer, directly or indirectly, any U.S. technical data acquired from Company</w:t>
      </w:r>
      <w:r>
        <w:rPr>
          <w:rFonts w:ascii="Arial" w:cs="Arial" w:eastAsia="Arial" w:hAnsi="Arial"/>
          <w:sz w:val="20"/>
          <w:szCs w:val="20"/>
          <w:b w:val="1"/>
          <w:bCs w:val="1"/>
          <w:color w:val="auto"/>
        </w:rPr>
        <w:t xml:space="preserve"> </w:t>
      </w:r>
      <w:r>
        <w:rPr>
          <w:rFonts w:ascii="Arial" w:cs="Arial" w:eastAsia="Arial" w:hAnsi="Arial"/>
          <w:sz w:val="21"/>
          <w:szCs w:val="21"/>
          <w:color w:val="auto"/>
        </w:rPr>
        <w:t>or any products utilizing such data, in violation of the United States export laws or regulations.</w:t>
      </w:r>
    </w:p>
    <w:p>
      <w:pPr>
        <w:spacing w:after="0" w:line="17"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20"/>
          <w:szCs w:val="20"/>
          <w:b w:val="1"/>
          <w:bCs w:val="1"/>
          <w:color w:val="auto"/>
        </w:rPr>
        <w:t xml:space="preserve">12.7 </w:t>
      </w: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executed in two or more counterparts, each of which will be deemed an original,</w:t>
      </w:r>
      <w:r>
        <w:rPr>
          <w:rFonts w:ascii="Arial" w:cs="Arial" w:eastAsia="Arial" w:hAnsi="Arial"/>
          <w:sz w:val="20"/>
          <w:szCs w:val="20"/>
          <w:b w:val="1"/>
          <w:bCs w:val="1"/>
          <w:color w:val="auto"/>
        </w:rPr>
        <w:t xml:space="preserve"> </w:t>
      </w:r>
      <w:r>
        <w:rPr>
          <w:rFonts w:ascii="Arial" w:cs="Arial" w:eastAsia="Arial" w:hAnsi="Arial"/>
          <w:sz w:val="21"/>
          <w:szCs w:val="21"/>
          <w:color w:val="auto"/>
        </w:rPr>
        <w:t>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5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20"/>
          <w:szCs w:val="20"/>
          <w:b w:val="1"/>
          <w:bCs w:val="1"/>
          <w:color w:val="auto"/>
        </w:rPr>
        <w:t>12.8</w:t>
      </w:r>
      <w:r>
        <w:rPr>
          <w:rFonts w:ascii="Arial" w:cs="Arial" w:eastAsia="Arial" w:hAnsi="Arial"/>
          <w:sz w:val="21"/>
          <w:szCs w:val="21"/>
          <w:b w:val="1"/>
          <w:bCs w:val="1"/>
          <w:color w:val="auto"/>
        </w:rPr>
        <w:t>Advice of Counsel. I ACKNOWLEDGE THAT, IN EXECUTING THIS AGREEMENT, I HAVE HAD THE</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OPPORTUNITY TO SEEK THE ADVICE OF INDEPENDENT LEGAL COUNSEL, AND I HAVE READ AND UNDERSTOOD ALL OF THE TERMS AND PROVISIONS OF THIS AGREEMENT. THIS AGREEMENT WILL NOT BE CONSTRUED AGAINST ANY PARTY BY REASON OF THE DRAFTING OR PREPARATION OF THIS AGREEMENT.</w:t>
      </w:r>
    </w:p>
    <w:p>
      <w:pPr>
        <w:spacing w:after="0" w:line="200" w:lineRule="exact"/>
        <w:rPr>
          <w:sz w:val="20"/>
          <w:szCs w:val="20"/>
          <w:color w:val="auto"/>
        </w:rPr>
      </w:pPr>
    </w:p>
    <w:p>
      <w:pPr>
        <w:spacing w:after="0" w:line="230"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20"/>
          <w:szCs w:val="20"/>
          <w:b w:val="1"/>
          <w:bCs w:val="1"/>
          <w:color w:val="auto"/>
        </w:rPr>
        <w:t xml:space="preserve">12.9 </w:t>
      </w:r>
      <w:r>
        <w:rPr>
          <w:rFonts w:ascii="Arial" w:cs="Arial" w:eastAsia="Arial" w:hAnsi="Arial"/>
          <w:sz w:val="21"/>
          <w:szCs w:val="21"/>
          <w:b w:val="1"/>
          <w:bCs w:val="1"/>
          <w:color w:val="auto"/>
        </w:rPr>
        <w:t>Entire Agreement</w:t>
      </w:r>
      <w:r>
        <w:rPr>
          <w:rFonts w:ascii="Arial" w:cs="Arial" w:eastAsia="Arial" w:hAnsi="Arial"/>
          <w:sz w:val="21"/>
          <w:szCs w:val="21"/>
          <w:color w:val="auto"/>
        </w:rPr>
        <w:t>. The obligations pursuant to Sections 1 and 2 (except Subsection 2.4 and Subsection 2.7(a)) of this</w:t>
      </w:r>
      <w:r>
        <w:rPr>
          <w:rFonts w:ascii="Arial" w:cs="Arial" w:eastAsia="Arial" w:hAnsi="Arial"/>
          <w:sz w:val="20"/>
          <w:szCs w:val="20"/>
          <w:b w:val="1"/>
          <w:bCs w:val="1"/>
          <w:color w:val="auto"/>
        </w:rPr>
        <w:t xml:space="preserve"> </w:t>
      </w:r>
      <w:r>
        <w:rPr>
          <w:rFonts w:ascii="Arial" w:cs="Arial" w:eastAsia="Arial" w:hAnsi="Arial"/>
          <w:sz w:val="21"/>
          <w:szCs w:val="21"/>
          <w:color w:val="auto"/>
        </w:rPr>
        <w:t>Agreement will apply to any time during which I was previously engaged, or am in the future engaged, by Company as a consultant if no other agreement governs nondisclosure and assignment of inventions during such period. This Agreement is the final, complete and exclusive agreement of the parties with respect to the subject matter of this Agreement and supersedes and merges all prior discussions between us. No modification of or amendment to this Agreement will be effective unless in writing and signed by the party to be charged. Any subsequent change or changes in my duties, salary or compensation will not affect the validity or scope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[signatures to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Agreement will be effective as of </w:t>
      </w:r>
      <w:r>
        <w:rPr>
          <w:rFonts w:ascii="Arial" w:cs="Arial" w:eastAsia="Arial" w:hAnsi="Arial"/>
          <w:sz w:val="22"/>
          <w:szCs w:val="22"/>
          <w:b w:val="1"/>
          <w:bCs w:val="1"/>
          <w:color w:val="auto"/>
        </w:rPr>
        <w:t>April 17, 2019</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w:t>
      </w:r>
    </w:p>
    <w:p>
      <w:pPr>
        <w:spacing w:after="0" w:line="346" w:lineRule="exact"/>
        <w:rPr>
          <w:sz w:val="20"/>
          <w:szCs w:val="20"/>
          <w:color w:val="auto"/>
        </w:rPr>
      </w:pPr>
    </w:p>
    <w:p>
      <w:pPr>
        <w:ind w:left="120" w:right="2280"/>
        <w:spacing w:after="0" w:line="267" w:lineRule="auto"/>
        <w:rPr>
          <w:sz w:val="20"/>
          <w:szCs w:val="20"/>
          <w:color w:val="auto"/>
        </w:rPr>
      </w:pPr>
      <w:r>
        <w:rPr>
          <w:rFonts w:ascii="Arial" w:cs="Arial" w:eastAsia="Arial" w:hAnsi="Arial"/>
          <w:sz w:val="20"/>
          <w:szCs w:val="20"/>
          <w:b w:val="1"/>
          <w:bCs w:val="1"/>
          <w:color w:val="auto"/>
        </w:rPr>
        <w:t>I have read this agreement carefully and understand its terms. I have completely filled out Exhibit A to this Agreement.</w:t>
      </w: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 Robert D.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jc w:val="center"/>
        <w:ind w:right="2060"/>
        <w:spacing w:after="0"/>
        <w:rPr>
          <w:sz w:val="20"/>
          <w:szCs w:val="20"/>
          <w:color w:val="auto"/>
        </w:rPr>
      </w:pPr>
      <w:r>
        <w:rPr>
          <w:rFonts w:ascii="Arial" w:cs="Arial" w:eastAsia="Arial" w:hAnsi="Arial"/>
          <w:sz w:val="22"/>
          <w:szCs w:val="22"/>
          <w:color w:val="auto"/>
        </w:rPr>
        <w:t>Robert D. Auerbach,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jc w:val="center"/>
        <w:ind w:right="2060"/>
        <w:spacing w:after="0"/>
        <w:rPr>
          <w:sz w:val="20"/>
          <w:szCs w:val="20"/>
          <w:color w:val="auto"/>
        </w:rPr>
      </w:pPr>
      <w:r>
        <w:rPr>
          <w:rFonts w:ascii="Arial" w:cs="Arial" w:eastAsia="Arial" w:hAnsi="Arial"/>
          <w:sz w:val="22"/>
          <w:szCs w:val="22"/>
          <w:color w:val="auto"/>
        </w:rPr>
        <w:t>Name</w:t>
      </w:r>
    </w:p>
    <w:p>
      <w:pPr>
        <w:spacing w:after="0" w:line="341" w:lineRule="exact"/>
        <w:rPr>
          <w:sz w:val="20"/>
          <w:szCs w:val="20"/>
          <w:color w:val="auto"/>
        </w:rPr>
      </w:pPr>
    </w:p>
    <w:p>
      <w:pPr>
        <w:jc w:val="center"/>
        <w:ind w:right="2080"/>
        <w:spacing w:after="0"/>
        <w:rPr>
          <w:sz w:val="20"/>
          <w:szCs w:val="20"/>
          <w:color w:val="auto"/>
        </w:rPr>
      </w:pPr>
      <w:r>
        <w:rPr>
          <w:rFonts w:ascii="Arial" w:cs="Arial" w:eastAsia="Arial" w:hAnsi="Arial"/>
          <w:sz w:val="22"/>
          <w:szCs w:val="22"/>
          <w:color w:val="auto"/>
        </w:rPr>
        <w:t>April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8" w:lineRule="exact"/>
        <w:rPr>
          <w:sz w:val="20"/>
          <w:szCs w:val="20"/>
          <w:color w:val="auto"/>
        </w:rPr>
      </w:pPr>
    </w:p>
    <w:p>
      <w:pPr>
        <w:jc w:val="center"/>
        <w:ind w:right="20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401955</wp:posOffset>
            </wp:positionV>
            <wp:extent cx="58318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Email: robert.auerbach@coopersurgical.com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58318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Address:</w:t>
      </w:r>
      <w:r>
        <w:rPr>
          <w:rFonts w:ascii="Arial" w:cs="Arial" w:eastAsia="Arial" w:hAnsi="Arial"/>
          <w:sz w:val="22"/>
          <w:szCs w:val="22"/>
          <w:u w:val="single" w:color="auto"/>
          <w:color w:val="auto"/>
        </w:rPr>
        <w:t>_29 Kimberly Lane, Madison, CT 06443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EMPLOYER:</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Accepted and agreed</w:t>
      </w:r>
    </w:p>
    <w:p>
      <w:pPr>
        <w:sectPr>
          <w:pgSz w:w="11900" w:h="16838" w:orient="portrait"/>
          <w:cols w:equalWidth="0" w:num="1">
            <w:col w:w="11420"/>
          </w:cols>
          <w:pgMar w:left="240" w:top="369" w:right="239" w:bottom="0" w:gutter="0" w:footer="0" w:header="0"/>
        </w:sectPr>
      </w:pPr>
    </w:p>
    <w:bookmarkStart w:id="145" w:name="page146"/>
    <w:bookmarkEnd w:id="145"/>
    <w:p>
      <w:pPr>
        <w:spacing w:after="0" w:line="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Cooper Companies,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200" w:type="dxa"/>
            <w:vAlign w:val="bottom"/>
          </w:tcPr>
          <w:p>
            <w:pPr>
              <w:ind w:left="120"/>
              <w:spacing w:after="0"/>
              <w:rPr>
                <w:sz w:val="20"/>
                <w:szCs w:val="20"/>
                <w:color w:val="auto"/>
              </w:rPr>
            </w:pPr>
            <w:r>
              <w:rPr>
                <w:rFonts w:ascii="Arial" w:cs="Arial" w:eastAsia="Arial" w:hAnsi="Arial"/>
                <w:sz w:val="22"/>
                <w:szCs w:val="22"/>
                <w:color w:val="auto"/>
              </w:rPr>
              <w:t>By:</w:t>
            </w:r>
          </w:p>
        </w:tc>
        <w:tc>
          <w:tcPr>
            <w:tcW w:w="7380" w:type="dxa"/>
            <w:vAlign w:val="bottom"/>
            <w:tcBorders>
              <w:bottom w:val="single" w:sz="8" w:color="auto"/>
            </w:tcBorders>
            <w:gridSpan w:val="4"/>
          </w:tcPr>
          <w:p>
            <w:pPr>
              <w:ind w:left="20"/>
              <w:spacing w:after="0"/>
              <w:rPr>
                <w:sz w:val="20"/>
                <w:szCs w:val="20"/>
                <w:color w:val="auto"/>
              </w:rPr>
            </w:pPr>
            <w:r>
              <w:rPr>
                <w:rFonts w:ascii="Arial" w:cs="Arial" w:eastAsia="Arial" w:hAnsi="Arial"/>
                <w:sz w:val="22"/>
                <w:szCs w:val="22"/>
                <w:color w:val="auto"/>
              </w:rPr>
              <w:t>/s Randal L. Golden</w:t>
            </w:r>
          </w:p>
        </w:tc>
        <w:tc>
          <w:tcPr>
            <w:tcW w:w="0" w:type="dxa"/>
            <w:vAlign w:val="bottom"/>
          </w:tcPr>
          <w:p>
            <w:pPr>
              <w:spacing w:after="0"/>
              <w:rPr>
                <w:sz w:val="1"/>
                <w:szCs w:val="1"/>
                <w:color w:val="auto"/>
              </w:rPr>
            </w:pPr>
          </w:p>
        </w:tc>
      </w:tr>
      <w:tr>
        <w:trPr>
          <w:trHeight w:val="577"/>
        </w:trPr>
        <w:tc>
          <w:tcPr>
            <w:tcW w:w="12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22"/>
                <w:szCs w:val="22"/>
                <w:color w:val="auto"/>
              </w:rPr>
              <w:t>Name:</w:t>
            </w:r>
          </w:p>
        </w:tc>
        <w:tc>
          <w:tcPr>
            <w:tcW w:w="6560" w:type="dxa"/>
            <w:vAlign w:val="bottom"/>
            <w:gridSpan w:val="2"/>
          </w:tcPr>
          <w:p>
            <w:pPr>
              <w:ind w:left="240"/>
              <w:spacing w:after="0"/>
              <w:rPr>
                <w:sz w:val="20"/>
                <w:szCs w:val="20"/>
                <w:color w:val="auto"/>
              </w:rPr>
            </w:pPr>
            <w:r>
              <w:rPr>
                <w:rFonts w:ascii="Arial" w:cs="Arial" w:eastAsia="Arial" w:hAnsi="Arial"/>
                <w:sz w:val="22"/>
                <w:szCs w:val="22"/>
                <w:color w:val="auto"/>
              </w:rPr>
              <w:t>Randal L. Golden</w:t>
            </w: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22"/>
                <w:szCs w:val="22"/>
                <w:color w:val="auto"/>
              </w:rPr>
              <w:t>Title:</w:t>
            </w:r>
          </w:p>
        </w:tc>
        <w:tc>
          <w:tcPr>
            <w:tcW w:w="6560" w:type="dxa"/>
            <w:vAlign w:val="bottom"/>
            <w:gridSpan w:val="2"/>
          </w:tcPr>
          <w:p>
            <w:pPr>
              <w:ind w:left="240"/>
              <w:spacing w:after="0"/>
              <w:rPr>
                <w:sz w:val="20"/>
                <w:szCs w:val="20"/>
                <w:color w:val="auto"/>
              </w:rPr>
            </w:pPr>
            <w:r>
              <w:rPr>
                <w:rFonts w:ascii="Arial" w:cs="Arial" w:eastAsia="Arial" w:hAnsi="Arial"/>
                <w:sz w:val="22"/>
                <w:szCs w:val="22"/>
                <w:color w:val="auto"/>
              </w:rPr>
              <w:t>Vice President, General Counsel, &amp; Secretary</w:t>
            </w:r>
          </w:p>
        </w:tc>
        <w:tc>
          <w:tcPr>
            <w:tcW w:w="0" w:type="dxa"/>
            <w:vAlign w:val="bottom"/>
          </w:tcPr>
          <w:p>
            <w:pPr>
              <w:spacing w:after="0"/>
              <w:rPr>
                <w:sz w:val="1"/>
                <w:szCs w:val="1"/>
                <w:color w:val="auto"/>
              </w:rPr>
            </w:pPr>
          </w:p>
        </w:tc>
      </w:tr>
      <w:tr>
        <w:trPr>
          <w:trHeight w:val="605"/>
        </w:trPr>
        <w:tc>
          <w:tcPr>
            <w:tcW w:w="1200" w:type="dxa"/>
            <w:vAlign w:val="bottom"/>
          </w:tcPr>
          <w:p>
            <w:pPr>
              <w:ind w:left="120"/>
              <w:spacing w:after="0"/>
              <w:rPr>
                <w:sz w:val="20"/>
                <w:szCs w:val="20"/>
                <w:color w:val="auto"/>
              </w:rPr>
            </w:pPr>
            <w:r>
              <w:rPr>
                <w:rFonts w:ascii="Arial" w:cs="Arial" w:eastAsia="Arial" w:hAnsi="Arial"/>
                <w:sz w:val="22"/>
                <w:szCs w:val="22"/>
                <w:color w:val="auto"/>
              </w:rPr>
              <w:t>Email:</w:t>
            </w:r>
          </w:p>
        </w:tc>
        <w:tc>
          <w:tcPr>
            <w:tcW w:w="7380" w:type="dxa"/>
            <w:vAlign w:val="bottom"/>
            <w:tcBorders>
              <w:bottom w:val="single" w:sz="8" w:color="auto"/>
            </w:tcBorders>
            <w:gridSpan w:val="4"/>
          </w:tcPr>
          <w:p>
            <w:pPr>
              <w:ind w:left="20"/>
              <w:spacing w:after="0"/>
              <w:rPr>
                <w:sz w:val="20"/>
                <w:szCs w:val="20"/>
                <w:color w:val="auto"/>
              </w:rPr>
            </w:pPr>
            <w:r>
              <w:rPr>
                <w:rFonts w:ascii="Arial" w:cs="Arial" w:eastAsia="Arial" w:hAnsi="Arial"/>
                <w:sz w:val="22"/>
                <w:szCs w:val="22"/>
                <w:color w:val="auto"/>
              </w:rPr>
              <w:t>rgolden@cooperco.com</w:t>
            </w:r>
          </w:p>
        </w:tc>
        <w:tc>
          <w:tcPr>
            <w:tcW w:w="0" w:type="dxa"/>
            <w:vAlign w:val="bottom"/>
          </w:tcPr>
          <w:p>
            <w:pPr>
              <w:spacing w:after="0"/>
              <w:rPr>
                <w:sz w:val="1"/>
                <w:szCs w:val="1"/>
                <w:color w:val="auto"/>
              </w:rPr>
            </w:pPr>
          </w:p>
        </w:tc>
      </w:tr>
      <w:tr>
        <w:trPr>
          <w:trHeight w:val="721"/>
        </w:trPr>
        <w:tc>
          <w:tcPr>
            <w:tcW w:w="8580" w:type="dxa"/>
            <w:vAlign w:val="bottom"/>
            <w:gridSpan w:val="5"/>
          </w:tcPr>
          <w:p>
            <w:pPr>
              <w:spacing w:after="0"/>
              <w:rPr>
                <w:sz w:val="20"/>
                <w:szCs w:val="20"/>
                <w:color w:val="auto"/>
              </w:rPr>
            </w:pPr>
            <w:r>
              <w:rPr>
                <w:rFonts w:ascii="Arial" w:cs="Arial" w:eastAsia="Arial" w:hAnsi="Arial"/>
                <w:sz w:val="22"/>
                <w:szCs w:val="22"/>
                <w:color w:val="auto"/>
              </w:rPr>
              <w:t>Address:  6140 Stoneridge Mall Road, Suite 590</w:t>
            </w: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3"/>
                <w:szCs w:val="23"/>
                <w:color w:val="auto"/>
              </w:rPr>
            </w:pPr>
          </w:p>
        </w:tc>
        <w:tc>
          <w:tcPr>
            <w:tcW w:w="7380" w:type="dxa"/>
            <w:vAlign w:val="bottom"/>
            <w:gridSpan w:val="4"/>
          </w:tcPr>
          <w:p>
            <w:pPr>
              <w:ind w:left="100"/>
              <w:spacing w:after="0"/>
              <w:rPr>
                <w:sz w:val="20"/>
                <w:szCs w:val="20"/>
                <w:color w:val="auto"/>
              </w:rPr>
            </w:pPr>
            <w:r>
              <w:rPr>
                <w:rFonts w:ascii="Arial" w:cs="Arial" w:eastAsia="Arial" w:hAnsi="Arial"/>
                <w:sz w:val="22"/>
                <w:szCs w:val="22"/>
                <w:color w:val="auto"/>
              </w:rPr>
              <w:t>Pleasanton, California 94588</w:t>
            </w:r>
          </w:p>
        </w:tc>
        <w:tc>
          <w:tcPr>
            <w:tcW w:w="0" w:type="dxa"/>
            <w:vAlign w:val="bottom"/>
          </w:tcPr>
          <w:p>
            <w:pPr>
              <w:spacing w:after="0"/>
              <w:rPr>
                <w:sz w:val="1"/>
                <w:szCs w:val="1"/>
                <w:color w:val="auto"/>
              </w:rPr>
            </w:pPr>
          </w:p>
        </w:tc>
      </w:tr>
      <w:tr>
        <w:trPr>
          <w:trHeight w:val="486"/>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
          </w:tcPr>
          <w:p>
            <w:pPr>
              <w:jc w:val="center"/>
              <w:ind w:left="712"/>
              <w:spacing w:after="0"/>
              <w:rPr>
                <w:sz w:val="20"/>
                <w:szCs w:val="20"/>
                <w:color w:val="auto"/>
              </w:rPr>
            </w:pPr>
            <w:r>
              <w:rPr>
                <w:rFonts w:ascii="Arial" w:cs="Arial" w:eastAsia="Arial" w:hAnsi="Arial"/>
                <w:sz w:val="22"/>
                <w:szCs w:val="22"/>
                <w:b w:val="1"/>
                <w:bCs w:val="1"/>
                <w:color w:val="auto"/>
              </w:rPr>
              <w:t>EXHIBIT A</w:t>
            </w:r>
          </w:p>
        </w:tc>
        <w:tc>
          <w:tcPr>
            <w:tcW w:w="0" w:type="dxa"/>
            <w:vAlign w:val="bottom"/>
          </w:tcPr>
          <w:p>
            <w:pPr>
              <w:spacing w:after="0"/>
              <w:rPr>
                <w:sz w:val="1"/>
                <w:szCs w:val="1"/>
                <w:color w:val="auto"/>
              </w:rPr>
            </w:pPr>
          </w:p>
        </w:tc>
      </w:tr>
      <w:tr>
        <w:trPr>
          <w:trHeight w:val="473"/>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
          </w:tcPr>
          <w:p>
            <w:pPr>
              <w:jc w:val="center"/>
              <w:ind w:left="732"/>
              <w:spacing w:after="0"/>
              <w:rPr>
                <w:sz w:val="20"/>
                <w:szCs w:val="20"/>
                <w:color w:val="auto"/>
              </w:rPr>
            </w:pPr>
            <w:r>
              <w:rPr>
                <w:rFonts w:ascii="Arial" w:cs="Arial" w:eastAsia="Arial" w:hAnsi="Arial"/>
                <w:sz w:val="22"/>
                <w:szCs w:val="22"/>
                <w:b w:val="1"/>
                <w:bCs w:val="1"/>
                <w:color w:val="auto"/>
              </w:rPr>
              <w:t>PRIOR INVENTIONS</w:t>
            </w:r>
          </w:p>
        </w:tc>
        <w:tc>
          <w:tcPr>
            <w:tcW w:w="0" w:type="dxa"/>
            <w:vAlign w:val="bottom"/>
          </w:tcPr>
          <w:p>
            <w:pPr>
              <w:spacing w:after="0"/>
              <w:rPr>
                <w:sz w:val="1"/>
                <w:szCs w:val="1"/>
                <w:color w:val="auto"/>
              </w:rPr>
            </w:pPr>
          </w:p>
        </w:tc>
      </w:tr>
      <w:tr>
        <w:trPr>
          <w:trHeight w:val="710"/>
        </w:trPr>
        <w:tc>
          <w:tcPr>
            <w:tcW w:w="1200" w:type="dxa"/>
            <w:vAlign w:val="bottom"/>
          </w:tcPr>
          <w:p>
            <w:pPr>
              <w:ind w:left="120"/>
              <w:spacing w:after="0"/>
              <w:rPr>
                <w:sz w:val="20"/>
                <w:szCs w:val="20"/>
                <w:color w:val="auto"/>
              </w:rPr>
            </w:pPr>
            <w:r>
              <w:rPr>
                <w:rFonts w:ascii="Arial" w:cs="Arial" w:eastAsia="Arial" w:hAnsi="Arial"/>
                <w:sz w:val="20"/>
                <w:szCs w:val="20"/>
                <w:b w:val="1"/>
                <w:bCs w:val="1"/>
                <w:color w:val="auto"/>
              </w:rPr>
              <w:t>TO:</w:t>
            </w: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The Cooper Companies, Inc.</w:t>
            </w:r>
          </w:p>
        </w:tc>
        <w:tc>
          <w:tcPr>
            <w:tcW w:w="0" w:type="dxa"/>
            <w:vAlign w:val="bottom"/>
          </w:tcPr>
          <w:p>
            <w:pPr>
              <w:spacing w:after="0"/>
              <w:rPr>
                <w:sz w:val="1"/>
                <w:szCs w:val="1"/>
                <w:color w:val="auto"/>
              </w:rPr>
            </w:pPr>
          </w:p>
        </w:tc>
      </w:tr>
      <w:tr>
        <w:trPr>
          <w:trHeight w:val="23"/>
        </w:trPr>
        <w:tc>
          <w:tcPr>
            <w:tcW w:w="120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FROM:</w:t>
            </w:r>
          </w:p>
        </w:tc>
        <w:tc>
          <w:tcPr>
            <w:tcW w:w="5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1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Robert D. Auerbach, M.D.</w:t>
            </w:r>
          </w:p>
        </w:tc>
        <w:tc>
          <w:tcPr>
            <w:tcW w:w="0" w:type="dxa"/>
            <w:vAlign w:val="bottom"/>
          </w:tcPr>
          <w:p>
            <w:pPr>
              <w:spacing w:after="0"/>
              <w:rPr>
                <w:sz w:val="1"/>
                <w:szCs w:val="1"/>
                <w:color w:val="auto"/>
              </w:rPr>
            </w:pPr>
          </w:p>
        </w:tc>
      </w:tr>
      <w:tr>
        <w:trPr>
          <w:trHeight w:val="23"/>
        </w:trPr>
        <w:tc>
          <w:tcPr>
            <w:tcW w:w="120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DATE:</w:t>
            </w:r>
          </w:p>
        </w:tc>
        <w:tc>
          <w:tcPr>
            <w:tcW w:w="5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1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gridSpan w:val="3"/>
          </w:tcPr>
          <w:p>
            <w:pPr>
              <w:ind w:left="20"/>
              <w:spacing w:after="0"/>
              <w:rPr>
                <w:sz w:val="20"/>
                <w:szCs w:val="20"/>
                <w:color w:val="auto"/>
              </w:rPr>
            </w:pPr>
            <w:r>
              <w:rPr>
                <w:rFonts w:ascii="Arial" w:cs="Arial" w:eastAsia="Arial" w:hAnsi="Arial"/>
                <w:sz w:val="20"/>
                <w:szCs w:val="20"/>
                <w:b w:val="1"/>
                <w:bCs w:val="1"/>
                <w:color w:val="auto"/>
              </w:rPr>
              <w:t>April 11, 2019</w:t>
            </w: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660" w:right="600" w:hanging="652"/>
        <w:spacing w:after="0" w:line="451" w:lineRule="auto"/>
        <w:tabs>
          <w:tab w:leader="none" w:pos="39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Prior Inventions Disclosure</w:t>
      </w:r>
      <w:r>
        <w:rPr>
          <w:rFonts w:ascii="Arial" w:cs="Arial" w:eastAsia="Arial" w:hAnsi="Arial"/>
          <w:sz w:val="22"/>
          <w:szCs w:val="22"/>
          <w:color w:val="auto"/>
        </w:rPr>
        <w:t>. Except as listed in Section 2 below, the following is a complete list of all Prior Inventions:</w:t>
      </w:r>
      <w:r>
        <w:rPr>
          <w:rFonts w:ascii="Arial" w:cs="Arial" w:eastAsia="Arial" w:hAnsi="Arial"/>
          <w:sz w:val="22"/>
          <w:szCs w:val="22"/>
          <w:b w:val="1"/>
          <w:bCs w:val="1"/>
          <w:color w:val="auto"/>
        </w:rPr>
        <w:t xml:space="preserve"> </w:t>
      </w:r>
      <w:r>
        <w:rPr>
          <w:rFonts w:ascii="Arial" w:cs="Arial" w:eastAsia="Arial" w:hAnsi="Arial"/>
          <w:sz w:val="22"/>
          <w:szCs w:val="22"/>
          <w:color w:val="auto"/>
        </w:rPr>
        <w:t>No Prior Inventions.</w:t>
      </w: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See below:</w:t>
      </w:r>
    </w:p>
    <w:p>
      <w:pPr>
        <w:spacing w:after="0" w:line="368" w:lineRule="exact"/>
        <w:rPr>
          <w:sz w:val="20"/>
          <w:szCs w:val="20"/>
          <w:color w:val="auto"/>
        </w:rPr>
      </w:pPr>
    </w:p>
    <w:p>
      <w:pPr>
        <w:ind w:left="1420" w:right="1960"/>
        <w:spacing w:after="0" w:line="251" w:lineRule="auto"/>
        <w:rPr>
          <w:sz w:val="20"/>
          <w:szCs w:val="20"/>
          <w:color w:val="auto"/>
        </w:rPr>
      </w:pPr>
      <w:r>
        <w:rPr>
          <w:rFonts w:ascii="Arial" w:cs="Arial" w:eastAsia="Arial" w:hAnsi="Arial"/>
          <w:sz w:val="22"/>
          <w:szCs w:val="22"/>
          <w:color w:val="auto"/>
        </w:rPr>
        <w:t>Guardian Vaginal Retractor – licensed to CooperSurgical, Inc. by Innovative Surgical Design LLC. I am a 24% member of Innovative Surgical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989965</wp:posOffset>
            </wp:positionV>
            <wp:extent cx="54540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792480</wp:posOffset>
            </wp:positionV>
            <wp:extent cx="54540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594995</wp:posOffset>
            </wp:positionV>
            <wp:extent cx="5454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398145</wp:posOffset>
            </wp:positionV>
            <wp:extent cx="54540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200660</wp:posOffset>
            </wp:positionV>
            <wp:extent cx="5454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3810</wp:posOffset>
            </wp:positionV>
            <wp:extent cx="54540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sheets attached.</w:t>
      </w:r>
    </w:p>
    <w:p>
      <w:pPr>
        <w:spacing w:after="0" w:line="220" w:lineRule="exact"/>
        <w:rPr>
          <w:sz w:val="20"/>
          <w:szCs w:val="20"/>
          <w:color w:val="auto"/>
        </w:rPr>
      </w:pPr>
    </w:p>
    <w:p>
      <w:pPr>
        <w:jc w:val="both"/>
        <w:ind w:firstLine="8"/>
        <w:spacing w:after="0" w:line="253" w:lineRule="auto"/>
        <w:tabs>
          <w:tab w:leader="none" w:pos="473" w:val="left"/>
        </w:tabs>
        <w:numPr>
          <w:ilvl w:val="0"/>
          <w:numId w:val="157"/>
        </w:numPr>
        <w:rPr>
          <w:rFonts w:ascii="Arial" w:cs="Arial" w:eastAsia="Arial" w:hAnsi="Arial"/>
          <w:sz w:val="22"/>
          <w:szCs w:val="22"/>
          <w:b w:val="1"/>
          <w:bCs w:val="1"/>
          <w:color w:val="auto"/>
        </w:rPr>
      </w:pPr>
      <w:r>
        <w:rPr>
          <w:rFonts w:ascii="Arial" w:cs="Arial" w:eastAsia="Arial" w:hAnsi="Arial"/>
          <w:sz w:val="22"/>
          <w:szCs w:val="22"/>
          <w:color w:val="auto"/>
        </w:rPr>
        <w:t>Due to a prior confidentiality agreement, I cannot complete the disclosure under Section 1 above with respect to the Prior Inventions generally listed below, the intellectual property rights and duty of confidentiality with respect to which I owe to the following party(ies):</w:t>
      </w:r>
    </w:p>
    <w:p>
      <w:pPr>
        <w:spacing w:after="0" w:line="200" w:lineRule="exact"/>
        <w:rPr>
          <w:sz w:val="20"/>
          <w:szCs w:val="20"/>
          <w:color w:val="auto"/>
        </w:rPr>
      </w:pPr>
    </w:p>
    <w:p>
      <w:pPr>
        <w:spacing w:after="0" w:line="236" w:lineRule="exact"/>
        <w:rPr>
          <w:sz w:val="20"/>
          <w:szCs w:val="20"/>
          <w:color w:val="auto"/>
        </w:rPr>
      </w:pPr>
    </w:p>
    <w:p>
      <w:pPr>
        <w:ind w:left="1640"/>
        <w:spacing w:after="0"/>
        <w:tabs>
          <w:tab w:leader="none" w:pos="5900" w:val="left"/>
          <w:tab w:leader="none" w:pos="9460" w:val="left"/>
        </w:tabs>
        <w:rPr>
          <w:sz w:val="20"/>
          <w:szCs w:val="20"/>
          <w:color w:val="auto"/>
        </w:rPr>
      </w:pPr>
      <w:r>
        <w:rPr>
          <w:rFonts w:ascii="Arial" w:cs="Arial" w:eastAsia="Arial" w:hAnsi="Arial"/>
          <w:sz w:val="22"/>
          <w:szCs w:val="22"/>
          <w:b w:val="1"/>
          <w:bCs w:val="1"/>
          <w:color w:val="auto"/>
        </w:rPr>
        <w:t>Excluded Invention</w:t>
      </w:r>
      <w:r>
        <w:rPr>
          <w:sz w:val="20"/>
          <w:szCs w:val="20"/>
          <w:color w:val="auto"/>
        </w:rPr>
        <w:tab/>
      </w:r>
      <w:r>
        <w:rPr>
          <w:rFonts w:ascii="Arial" w:cs="Arial" w:eastAsia="Arial" w:hAnsi="Arial"/>
          <w:sz w:val="22"/>
          <w:szCs w:val="22"/>
          <w:b w:val="1"/>
          <w:bCs w:val="1"/>
          <w:color w:val="auto"/>
        </w:rPr>
        <w:t>Party(ies)</w:t>
      </w:r>
      <w:r>
        <w:rPr>
          <w:sz w:val="20"/>
          <w:szCs w:val="20"/>
          <w:color w:val="auto"/>
        </w:rPr>
        <w:tab/>
      </w:r>
      <w:r>
        <w:rPr>
          <w:rFonts w:ascii="Arial" w:cs="Arial" w:eastAsia="Arial" w:hAnsi="Arial"/>
          <w:sz w:val="19"/>
          <w:szCs w:val="19"/>
          <w:b w:val="1"/>
          <w:bCs w:val="1"/>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28575</wp:posOffset>
            </wp:positionV>
            <wp:extent cx="65862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31115</wp:posOffset>
            </wp:positionV>
            <wp:extent cx="65862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Additional sheets attached.</w:t>
      </w:r>
    </w:p>
    <w:p>
      <w:pPr>
        <w:spacing w:after="0" w:line="200" w:lineRule="exact"/>
        <w:rPr>
          <w:sz w:val="20"/>
          <w:szCs w:val="20"/>
          <w:color w:val="auto"/>
        </w:rPr>
      </w:pPr>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Limited Exclusion Notification</w:t>
      </w:r>
      <w:r>
        <w:rPr>
          <w:rFonts w:ascii="Arial" w:cs="Arial" w:eastAsia="Arial" w:hAnsi="Arial"/>
          <w:sz w:val="19"/>
          <w:szCs w:val="19"/>
          <w:color w:val="auto"/>
        </w:rPr>
        <w:t>.</w:t>
      </w:r>
    </w:p>
    <w:p>
      <w:pPr>
        <w:spacing w:after="0" w:line="22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This is to notify you in accordance with Section 2872 of the California Labor Code that the foregoing Agreement between you and Company does not require you to assign or offer to assign to Company any Invention that you develop entirely on your own time</w:t>
      </w:r>
    </w:p>
    <w:p>
      <w:pPr>
        <w:sectPr>
          <w:pgSz w:w="11900" w:h="16852" w:orient="portrait"/>
          <w:cols w:equalWidth="0" w:num="1">
            <w:col w:w="11420"/>
          </w:cols>
          <w:pgMar w:left="240" w:top="652" w:right="239" w:bottom="0" w:gutter="0" w:footer="0" w:header="0"/>
        </w:sectPr>
      </w:pPr>
    </w:p>
    <w:bookmarkStart w:id="146" w:name="page147"/>
    <w:bookmarkEnd w:id="146"/>
    <w:p>
      <w:pPr>
        <w:spacing w:after="0" w:line="120" w:lineRule="exact"/>
        <w:rPr>
          <w:sz w:val="20"/>
          <w:szCs w:val="20"/>
          <w:color w:val="auto"/>
        </w:rPr>
      </w:pPr>
    </w:p>
    <w:p>
      <w:pPr>
        <w:spacing w:after="0"/>
        <w:rPr>
          <w:sz w:val="20"/>
          <w:szCs w:val="20"/>
          <w:color w:val="auto"/>
        </w:rPr>
      </w:pPr>
      <w:r>
        <w:rPr>
          <w:rFonts w:ascii="Arial" w:cs="Arial" w:eastAsia="Arial" w:hAnsi="Arial"/>
          <w:sz w:val="21"/>
          <w:szCs w:val="21"/>
          <w:color w:val="auto"/>
        </w:rPr>
        <w:t>without using Company’s equipment, supplies, facilities or trade secret information, except for those Inventions that either:</w:t>
      </w:r>
    </w:p>
    <w:p>
      <w:pPr>
        <w:spacing w:after="0" w:line="231" w:lineRule="exact"/>
        <w:rPr>
          <w:sz w:val="20"/>
          <w:szCs w:val="20"/>
          <w:color w:val="auto"/>
        </w:rPr>
      </w:pPr>
    </w:p>
    <w:p>
      <w:pPr>
        <w:ind w:firstLine="656"/>
        <w:spacing w:after="0" w:line="263" w:lineRule="auto"/>
        <w:tabs>
          <w:tab w:leader="none" w:pos="105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to Company’s business, or actual or demonstrably anticipated research or development; or</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Result from any work performed by you for Company.</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signed on or within twenty-one (21) days after the Separation Date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My employment with the Cooper Companies, Inc. (“</w:t>
      </w:r>
      <w:r>
        <w:rPr>
          <w:rFonts w:ascii="Arial" w:cs="Arial" w:eastAsia="Arial" w:hAnsi="Arial"/>
          <w:sz w:val="19"/>
          <w:szCs w:val="19"/>
          <w:b w:val="1"/>
          <w:bCs w:val="1"/>
          <w:color w:val="auto"/>
        </w:rPr>
        <w:t>Company</w:t>
      </w:r>
      <w:r>
        <w:rPr>
          <w:rFonts w:ascii="Arial" w:cs="Arial" w:eastAsia="Arial" w:hAnsi="Arial"/>
          <w:sz w:val="19"/>
          <w:szCs w:val="19"/>
          <w:color w:val="auto"/>
        </w:rPr>
        <w:t>”) ended in all capacities on ________ (the “</w:t>
      </w:r>
      <w:r>
        <w:rPr>
          <w:rFonts w:ascii="Arial" w:cs="Arial" w:eastAsia="Arial" w:hAnsi="Arial"/>
          <w:sz w:val="19"/>
          <w:szCs w:val="19"/>
          <w:b w:val="1"/>
          <w:bCs w:val="1"/>
          <w:color w:val="auto"/>
        </w:rPr>
        <w:t>Separation Date</w:t>
      </w:r>
      <w:r>
        <w:rPr>
          <w:rFonts w:ascii="Arial" w:cs="Arial" w:eastAsia="Arial" w:hAnsi="Arial"/>
          <w:sz w:val="19"/>
          <w:szCs w:val="19"/>
          <w:color w:val="auto"/>
        </w:rPr>
        <w:t>”). I hereby</w:t>
      </w:r>
    </w:p>
    <w:p>
      <w:pPr>
        <w:spacing w:after="0" w:line="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confirm that I have been paid all compensation owed to me by Company for all hours worked; I have received all leave and leave benefits and protections for which I was eligible, pursuant to Company’s policies, applicable law, or otherwise; and I have not suffered any on-the-job injury or illness for which I have not already filed a workers’ compensation claim.</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I choose to enter into this Release and allow it to become effective by its terms, Company will provide me with certain severance benefits pursuant to the terms of the Executive Employment Agreement between me and Company dated ____, 2019 (the “</w:t>
      </w:r>
      <w:r>
        <w:rPr>
          <w:rFonts w:ascii="Arial" w:cs="Arial" w:eastAsia="Arial" w:hAnsi="Arial"/>
          <w:sz w:val="18"/>
          <w:szCs w:val="18"/>
          <w:b w:val="1"/>
          <w:bCs w:val="1"/>
          <w:color w:val="auto"/>
        </w:rPr>
        <w:t>Agreement</w:t>
      </w:r>
      <w:r>
        <w:rPr>
          <w:rFonts w:ascii="Arial" w:cs="Arial" w:eastAsia="Arial" w:hAnsi="Arial"/>
          <w:sz w:val="18"/>
          <w:szCs w:val="18"/>
          <w:color w:val="auto"/>
        </w:rPr>
        <w:t>”). I understand</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that I am not entitled to such severance benefits unless I return this fully-executed Release to Company within twenty-one (21) days after the Separation Date, and allow this Release to become fully effective and non-revocable by its terms. (Capitalized terms used but not defined in this Release shall have the meaning ascribed to them in the Agreement.)</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exchange for the severance benefits to which I would not otherwise be entitled, I hereby generally and completely release Company and its directors, officers, employees, shareholders, partners, agents, attorneys, predecessors, successors, parent and subsidiary entities, insurers, affiliates, and assigns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claims, liabilities and obligations, both known and unknown, arising from or in any way related to events, acts, conduct, or omissions occurring prior to or at the time that I sign this Release, including but not limited to claims arising from or in any way related to my employment with Company or the termination of that employment (collectively, the “</w:t>
      </w:r>
      <w:r>
        <w:rPr>
          <w:rFonts w:ascii="Arial" w:cs="Arial" w:eastAsia="Arial" w:hAnsi="Arial"/>
          <w:sz w:val="18"/>
          <w:szCs w:val="18"/>
          <w:b w:val="1"/>
          <w:bCs w:val="1"/>
          <w:color w:val="auto"/>
        </w:rPr>
        <w:t>Released Claims</w:t>
      </w:r>
      <w:r>
        <w:rPr>
          <w:rFonts w:ascii="Arial" w:cs="Arial" w:eastAsia="Arial" w:hAnsi="Arial"/>
          <w:sz w:val="18"/>
          <w:szCs w:val="18"/>
          <w:color w:val="auto"/>
        </w:rPr>
        <w:t>”). By way of example, the Released claims include, but are not limited to: (1) all claims related to my compensation or benefits from Company, including salary, bonuses, commissions, vacation pay, expense reimbursements, severance pay, fringe benefits, stock, stock options, or any other ownership interests in Company; (2) all claims for breach of contract, wrongful termination, and breach of the implied covenant of good faith and fair dealing; (3) all tort claims, including claims for fraud, defamation, emotional distress, and discharge in violation of public policy; and (4)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8"/>
          <w:szCs w:val="18"/>
          <w:b w:val="1"/>
          <w:bCs w:val="1"/>
          <w:color w:val="auto"/>
        </w:rPr>
        <w:t>ADEA</w:t>
      </w:r>
      <w:r>
        <w:rPr>
          <w:rFonts w:ascii="Arial" w:cs="Arial" w:eastAsia="Arial" w:hAnsi="Arial"/>
          <w:sz w:val="18"/>
          <w:szCs w:val="18"/>
          <w:color w:val="auto"/>
        </w:rPr>
        <w:t>”), and California state law.</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Notwithstanding the foregoing, the following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included in the Released Claims (the “</w:t>
      </w:r>
      <w:r>
        <w:rPr>
          <w:rFonts w:ascii="Arial" w:cs="Arial" w:eastAsia="Arial" w:hAnsi="Arial"/>
          <w:sz w:val="18"/>
          <w:szCs w:val="18"/>
          <w:b w:val="1"/>
          <w:bCs w:val="1"/>
          <w:color w:val="auto"/>
        </w:rPr>
        <w:t>Excluded Claims</w:t>
      </w:r>
      <w:r>
        <w:rPr>
          <w:rFonts w:ascii="Arial" w:cs="Arial" w:eastAsia="Arial" w:hAnsi="Arial"/>
          <w:sz w:val="18"/>
          <w:szCs w:val="18"/>
          <w:color w:val="auto"/>
        </w:rPr>
        <w:t>”): (a) any claims for breach of the Agreement arising after the date on which I sign this Release; (2) claims for reimbursement of properly incurred business expenses prior to and through the Separation Date which are submitted to Company for reimbursement within thirty (30) days after the Separation Date; (3) all rights I have in respect of the Equity Awards; (4) all claims for or rights to indemnification pursuant to this Agreement, the articles of incorporation and bylaws of Company, any indemnification agreement to which I am a party, or applicable law; (5) the Company’s continuing severance obligations under the Agreement; and (6) all claims which cannot be waived as a matter of law. I understand that nothing in this Release prevents me from filing, cooperating with, or participating in any proceeding before the Equal Employment Opportunity Commission, the Department of Labor, or any other government agency, except that I acknowledge and agree that I am hereby waiving my right to any monetary benefits in connection with any such claim, charge or proceeding (except for such benefits with respect to proceedings before the Securities and Exchange Commission). I hereby represent and warrant that, other than the Excluded Claims, I am not aware of any claims that I have or might have against any of the parties released above that are not included in the Released Claims.</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 acknowledge that I am knowingly and voluntarily waiving and releasing any rights I may have under the ADEA, and that the consideration given for this Release is in addition to anything of value to which I was already entitled. I further acknowledge that I have been advised, as required by the ADEA, that: (a) my waiver and release does not apply to any rights or claims that may arise after the date I sign this Release;</w:t>
      </w:r>
    </w:p>
    <w:p>
      <w:pPr>
        <w:sectPr>
          <w:pgSz w:w="11900" w:h="16958" w:orient="portrait"/>
          <w:cols w:equalWidth="0" w:num="1">
            <w:col w:w="11420"/>
          </w:cols>
          <w:pgMar w:left="240" w:top="131" w:right="239" w:bottom="0" w:gutter="0" w:footer="0" w:header="0"/>
        </w:sectPr>
      </w:pPr>
    </w:p>
    <w:bookmarkStart w:id="147" w:name="page148"/>
    <w:bookmarkEnd w:id="147"/>
    <w:p>
      <w:pPr>
        <w:jc w:val="both"/>
        <w:ind w:firstLine="8"/>
        <w:spacing w:after="0" w:line="279" w:lineRule="auto"/>
        <w:tabs>
          <w:tab w:leader="none" w:pos="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been advised that I have the right to consult with an attorney prior to executing this Release (although I may choose voluntarily not to do so); (c) I have been given twenty-one (21) days to consider this Release (although I may choose voluntarily to sign it earlier); (d) I have seven (7) days following my execution of this Release to revoke my acceptance of it (with such revocation to be delivered in writing to the Chair of the Board within the 7-day revocation period); and (e) this Release will not be effective until the date upon which the revocation period has expired, which will be the eighth day after I sign it, provided I do not earlier revoke it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required under California law for a general release of all known and unknown claims, I acknowledge that I have read and understand Section 1542 of the California Civil Code which reads as follows: “A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 I hereby expressly waive and relinquish all rights and benefits under that section and any law or legal principle of similar effect in any jurisdiction with respect to my release of claims herein, including but not limited to the release of unknown and unsuspected claims.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 further agree: (a) not to disparage Company or any of the other Released Parties, in any manner likely to be harmful to its or their business, business reputation or personal reputation (although I may respond accurately and fully to any question, inquiry or request for information as required by legal process); (b) not to voluntarily (except in response to legal compulsion) assist any third party in bringing or pursuing any proposed or pending litigation, arbitration, administrative claim or other formal proceedings against Company, its affiliates, officers, directors, employees or agents; and (c) to reasonably cooperate with Company by voluntarily (without legal compulsion) providing accurate and complete information, in connection with Company’s actual or contemplated defense, prosecution or investigation of any claims or demands by or against third parties, or other matters, arising from events, acts, or omissions that occurred during my employment with Company. I hereby certify that I have returned, without retaining any reproductions (in whole or in part), all information, materials and other property of Company, including but not limited to any embodiment (in any medium) of any confidential or proprietary information of Company (including but not limited to any such embodiments on any personally-owned electronic or other storage device such as computer, cellular phone, PDA, tablet or the like).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Release, together with the Agreement (including all Exhibits and documents incorporated therein by reference), constitutes the complete, final and exclusive embodiment of the entire agreement between me and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Reviewed, Understood and Agreed:</w:t>
      </w:r>
    </w:p>
    <w:p>
      <w:pPr>
        <w:spacing w:after="0" w:line="200" w:lineRule="exact"/>
        <w:rPr>
          <w:sz w:val="20"/>
          <w:szCs w:val="20"/>
          <w:color w:val="auto"/>
        </w:rPr>
      </w:pPr>
    </w:p>
    <w:p>
      <w:pPr>
        <w:spacing w:after="0" w:line="251"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7805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054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Robert D. Auerbach, M.D.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200437866 v5</w:t>
      </w:r>
    </w:p>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31, 2019</w:t>
      </w:r>
    </w:p>
    <w:p>
      <w:pPr>
        <w:spacing w:after="0" w:line="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31750</wp:posOffset>
            </wp:positionV>
            <wp:extent cx="22555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25" w:lineRule="exact"/>
        <w:rPr>
          <w:sz w:val="20"/>
          <w:szCs w:val="20"/>
          <w:color w:val="auto"/>
        </w:rPr>
      </w:pPr>
    </w:p>
    <w:p>
      <w:pPr>
        <w:ind w:left="180" w:hanging="172"/>
        <w:spacing w:after="0"/>
        <w:tabs>
          <w:tab w:leader="none" w:pos="1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May 31, 2019</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31750</wp:posOffset>
            </wp:positionV>
            <wp:extent cx="25387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Senior Vice President, Chief Financial Officer and</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337"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Albert G. White III,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Quarterly Report on Form 10-Q of The Cooper Companies, Inc. (the "Company") for the quarterly period ended April 30, 2019,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31, 2019</w:t>
      </w:r>
      <w:r>
        <w:rPr>
          <w:sz w:val="20"/>
          <w:szCs w:val="20"/>
          <w:color w:val="auto"/>
        </w:rPr>
        <w:tab/>
      </w:r>
      <w:r>
        <w:rPr>
          <w:rFonts w:ascii="Arial" w:cs="Arial" w:eastAsia="Arial" w:hAnsi="Arial"/>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Brian G. Andrews,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163"/>
        </w:numPr>
        <w:rPr>
          <w:rFonts w:ascii="Arial" w:cs="Arial" w:eastAsia="Arial" w:hAnsi="Arial"/>
          <w:sz w:val="18"/>
          <w:szCs w:val="18"/>
          <w:color w:val="auto"/>
        </w:rPr>
      </w:pPr>
      <w:r>
        <w:rPr>
          <w:rFonts w:ascii="Arial" w:cs="Arial" w:eastAsia="Arial" w:hAnsi="Arial"/>
          <w:sz w:val="20"/>
          <w:szCs w:val="20"/>
          <w:color w:val="auto"/>
        </w:rPr>
        <w:t>the Quarterly Report on Form 10-Q of The Cooper Companies, Inc. (the "Company") for the quarterly period ended April 30, 2019,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163"/>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31, 2019</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1)"/>
      <w:numFmt w:val="decimal"/>
      <w:start w:val="1"/>
    </w:lvl>
  </w:abstractNum>
  <w:abstractNum w:abstractNumId="1">
    <w:nsid w:val="7FFFCA11"/>
    <w:multiLevelType w:val="hybridMultilevel"/>
    <w:lvl w:ilvl="0">
      <w:lvlJc w:val="left"/>
      <w:lvlText w:val="(%1)"/>
      <w:numFmt w:val="decimal"/>
      <w:start w:val="5"/>
    </w:lvl>
  </w:abstractNum>
  <w:abstractNum w:abstractNumId="2">
    <w:nsid w:val="1A27709E"/>
    <w:multiLevelType w:val="hybridMultilevel"/>
    <w:lvl w:ilvl="0">
      <w:lvlJc w:val="left"/>
      <w:lvlText w:val="(%1)"/>
      <w:numFmt w:val="decimal"/>
      <w:start w:val="1"/>
    </w:lvl>
  </w:abstractNum>
  <w:abstractNum w:abstractNumId="3">
    <w:nsid w:val="71EA1109"/>
    <w:multiLevelType w:val="hybridMultilevel"/>
    <w:lvl w:ilvl="0">
      <w:lvlJc w:val="left"/>
      <w:lvlText w:val="(%1)"/>
      <w:numFmt w:val="decimal"/>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1)"/>
      <w:numFmt w:val="lowerRoman"/>
      <w:start w:val="2"/>
    </w:lvl>
  </w:abstractNum>
  <w:abstractNum w:abstractNumId="6">
    <w:nsid w:val="6EB5BD4"/>
    <w:multiLevelType w:val="hybridMultilevel"/>
    <w:lvl w:ilvl="0">
      <w:lvlJc w:val="left"/>
      <w:lvlText w:val="(%1)"/>
      <w:numFmt w:val="decimal"/>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1."/>
      <w:numFmt w:val="decimal"/>
      <w:start w:val="1"/>
    </w:lvl>
  </w:abstractNum>
  <w:abstractNum w:abstractNumId="32">
    <w:nsid w:val="5FB8011C"/>
    <w:multiLevelType w:val="hybridMultilevel"/>
    <w:lvl w:ilvl="0">
      <w:lvlJc w:val="left"/>
      <w:lvlText w:val="%1."/>
      <w:numFmt w:val="decimal"/>
      <w:start w:val="4"/>
    </w:lvl>
    <w:lvl w:ilvl="1">
      <w:lvlJc w:val="left"/>
      <w:lvlText w:val="(%2)"/>
      <w:numFmt w:val="lowerLetter"/>
      <w:start w:val="1"/>
    </w:lvl>
  </w:abstractNum>
  <w:abstractNum w:abstractNumId="33">
    <w:nsid w:val="6AA78F7F"/>
    <w:multiLevelType w:val="hybridMultilevel"/>
    <w:lvl w:ilvl="0">
      <w:lvlJc w:val="left"/>
      <w:lvlText w:val="%1"/>
      <w:numFmt w:val="decimal"/>
      <w:start w:val="1"/>
    </w:lvl>
    <w:lvl w:ilvl="1">
      <w:lvlJc w:val="left"/>
      <w:lvlText w:val="(%2)"/>
      <w:numFmt w:val="lowerLetter"/>
      <w:start w:val="2"/>
    </w:lvl>
  </w:abstractNum>
  <w:abstractNum w:abstractNumId="34">
    <w:nsid w:val="7672BD23"/>
    <w:multiLevelType w:val="hybridMultilevel"/>
    <w:lvl w:ilvl="0">
      <w:lvlJc w:val="left"/>
      <w:lvlText w:val="%1."/>
      <w:numFmt w:val="decimal"/>
      <w:start w:val="8"/>
    </w:lvl>
    <w:lvl w:ilvl="1">
      <w:lvlJc w:val="left"/>
      <w:lvlText w:val="(%2)"/>
      <w:numFmt w:val="lowerLetter"/>
      <w:start w:val="1"/>
    </w:lvl>
  </w:abstractNum>
  <w:abstractNum w:abstractNumId="35">
    <w:nsid w:val="6FC75AF8"/>
    <w:multiLevelType w:val="hybridMultilevel"/>
    <w:lvl w:ilvl="0">
      <w:lvlJc w:val="left"/>
      <w:lvlText w:val="(%1)"/>
      <w:numFmt w:val="lowerLetter"/>
      <w:start w:val="5"/>
    </w:lvl>
    <w:lvl w:ilvl="1">
      <w:lvlJc w:val="left"/>
      <w:lvlText w:val="(%2)"/>
      <w:numFmt w:val="lowerRoman"/>
      <w:start w:val="1"/>
    </w:lvl>
  </w:abstractNum>
  <w:abstractNum w:abstractNumId="36">
    <w:nsid w:val="6A5F7029"/>
    <w:multiLevelType w:val="hybridMultilevel"/>
    <w:lvl w:ilvl="0">
      <w:lvlJc w:val="left"/>
      <w:lvlText w:val="%1"/>
      <w:numFmt w:val="decimal"/>
      <w:start w:val="1"/>
    </w:lvl>
    <w:lvl w:ilvl="1">
      <w:lvlJc w:val="left"/>
      <w:lvlText w:val="(%2)"/>
      <w:numFmt w:val="lowerLetter"/>
      <w:start w:val="7"/>
    </w:lvl>
  </w:abstractNum>
  <w:abstractNum w:abstractNumId="37">
    <w:nsid w:val="7D5E18F8"/>
    <w:multiLevelType w:val="hybridMultilevel"/>
    <w:lvl w:ilvl="0">
      <w:lvlJc w:val="left"/>
      <w:lvlText w:val="(%1)"/>
      <w:numFmt w:val="decimal"/>
      <w:start w:val="12"/>
    </w:lvl>
    <w:lvl w:ilvl="1">
      <w:lvlJc w:val="left"/>
      <w:lvlText w:val="%2"/>
      <w:numFmt w:val="lowerLetter"/>
      <w:start w:val="1"/>
    </w:lvl>
  </w:abstractNum>
  <w:abstractNum w:abstractNumId="38">
    <w:nsid w:val="5F3534A4"/>
    <w:multiLevelType w:val="hybridMultilevel"/>
    <w:lvl w:ilvl="0">
      <w:lvlJc w:val="left"/>
      <w:lvlText w:val="%1."/>
      <w:numFmt w:val="decimal"/>
      <w:start w:val="9"/>
    </w:lvl>
    <w:lvl w:ilvl="1">
      <w:lvlJc w:val="left"/>
      <w:lvlText w:val="(%2)"/>
      <w:numFmt w:val="lowerLetter"/>
      <w:start w:val="1"/>
    </w:lvl>
  </w:abstractNum>
  <w:abstractNum w:abstractNumId="39">
    <w:nsid w:val="73A1821B"/>
    <w:multiLevelType w:val="hybridMultilevel"/>
    <w:lvl w:ilvl="0">
      <w:lvlJc w:val="left"/>
      <w:lvlText w:val="%1"/>
      <w:numFmt w:val="decimal"/>
      <w:start w:val="1"/>
    </w:lvl>
    <w:lvl w:ilvl="1">
      <w:lvlJc w:val="left"/>
      <w:lvlText w:val="(%2)"/>
      <w:numFmt w:val="lowerLetter"/>
      <w:start w:val="2"/>
    </w:lvl>
  </w:abstractNum>
  <w:abstractNum w:abstractNumId="40">
    <w:nsid w:val="7DE67713"/>
    <w:multiLevelType w:val="hybridMultilevel"/>
    <w:lvl w:ilvl="0">
      <w:lvlJc w:val="left"/>
      <w:lvlText w:val="%1."/>
      <w:numFmt w:val="decimal"/>
      <w:start w:val="10"/>
    </w:lvl>
    <w:lvl w:ilvl="1">
      <w:lvlJc w:val="left"/>
      <w:lvlText w:val="%2"/>
      <w:numFmt w:val="lowerLetter"/>
      <w:start w:val="1"/>
    </w:lvl>
  </w:abstractNum>
  <w:abstractNum w:abstractNumId="41">
    <w:nsid w:val="555C55B5"/>
    <w:multiLevelType w:val="hybridMultilevel"/>
    <w:lvl w:ilvl="0">
      <w:lvlJc w:val="left"/>
      <w:lvlText w:val="%1."/>
      <w:numFmt w:val="decimal"/>
      <w:start w:val="11"/>
    </w:lvl>
  </w:abstractNum>
  <w:abstractNum w:abstractNumId="42">
    <w:nsid w:val="3FA62ACA"/>
    <w:multiLevelType w:val="hybridMultilevel"/>
    <w:lvl w:ilvl="0">
      <w:lvlJc w:val="left"/>
      <w:lvlText w:val="%1."/>
      <w:numFmt w:val="decimal"/>
      <w:start w:val="12"/>
    </w:lvl>
    <w:lvl w:ilvl="1">
      <w:lvlJc w:val="left"/>
      <w:lvlText w:val="(%2)"/>
      <w:numFmt w:val="lowerLetter"/>
      <w:start w:val="1"/>
    </w:lvl>
  </w:abstractNum>
  <w:abstractNum w:abstractNumId="43">
    <w:nsid w:val="14FCE74E"/>
    <w:multiLevelType w:val="hybridMultilevel"/>
    <w:lvl w:ilvl="0">
      <w:lvlJc w:val="left"/>
      <w:lvlText w:val="(%1)"/>
      <w:numFmt w:val="lowerLetter"/>
      <w:start w:val="5"/>
    </w:lvl>
  </w:abstractNum>
  <w:abstractNum w:abstractNumId="44">
    <w:nsid w:val="6A3DD3E8"/>
    <w:multiLevelType w:val="hybridMultilevel"/>
    <w:lvl w:ilvl="0">
      <w:lvlJc w:val="left"/>
      <w:lvlText w:val="%1."/>
      <w:numFmt w:val="decimal"/>
      <w:start w:val="1"/>
    </w:lvl>
  </w:abstractNum>
  <w:abstractNum w:abstractNumId="45">
    <w:nsid w:val="71C91298"/>
    <w:multiLevelType w:val="hybridMultilevel"/>
    <w:lvl w:ilvl="0">
      <w:lvlJc w:val="left"/>
      <w:lvlText w:val="(%1)"/>
      <w:numFmt w:val="lowerLetter"/>
      <w:start w:val="2"/>
    </w:lvl>
  </w:abstractNum>
  <w:abstractNum w:abstractNumId="46">
    <w:nsid w:val="9DAF632"/>
    <w:multiLevelType w:val="hybridMultilevel"/>
    <w:lvl w:ilvl="0">
      <w:lvlJc w:val="left"/>
      <w:lvlText w:val="%1."/>
      <w:numFmt w:val="decimal"/>
      <w:start w:val="2"/>
    </w:lvl>
  </w:abstractNum>
  <w:abstractNum w:abstractNumId="47">
    <w:nsid w:val="53299938"/>
    <w:multiLevelType w:val="hybridMultilevel"/>
    <w:lvl w:ilvl="0">
      <w:lvlJc w:val="left"/>
      <w:lvlText w:val="(%1)"/>
      <w:numFmt w:val="lowerLetter"/>
      <w:start w:val="1"/>
    </w:lvl>
  </w:abstractNum>
  <w:abstractNum w:abstractNumId="48">
    <w:nsid w:val="1FBFE8E0"/>
    <w:multiLevelType w:val="hybridMultilevel"/>
    <w:lvl w:ilvl="0">
      <w:lvlJc w:val="left"/>
      <w:lvlText w:val="%1."/>
      <w:numFmt w:val="decimal"/>
      <w:start w:val="3"/>
    </w:lvl>
  </w:abstractNum>
  <w:abstractNum w:abstractNumId="49">
    <w:nsid w:val="5092CA79"/>
    <w:multiLevelType w:val="hybridMultilevel"/>
    <w:lvl w:ilvl="0">
      <w:lvlJc w:val="left"/>
      <w:lvlText w:val="%1."/>
      <w:numFmt w:val="decimal"/>
      <w:start w:val="7"/>
    </w:lvl>
  </w:abstractNum>
  <w:abstractNum w:abstractNumId="50">
    <w:nsid w:val="1D545C4D"/>
    <w:multiLevelType w:val="hybridMultilevel"/>
    <w:lvl w:ilvl="0">
      <w:lvlJc w:val="left"/>
      <w:lvlText w:val="%1."/>
      <w:numFmt w:val="decimal"/>
      <w:start w:val="10"/>
    </w:lvl>
  </w:abstractNum>
  <w:abstractNum w:abstractNumId="51">
    <w:nsid w:val="59ADEA3D"/>
    <w:multiLevelType w:val="hybridMultilevel"/>
    <w:lvl w:ilvl="0">
      <w:lvlJc w:val="left"/>
      <w:lvlText w:val="%1."/>
      <w:numFmt w:val="decimal"/>
      <w:start w:val="12"/>
    </w:lvl>
  </w:abstractNum>
  <w:abstractNum w:abstractNumId="52">
    <w:nsid w:val="288F1A34"/>
    <w:multiLevelType w:val="hybridMultilevel"/>
    <w:lvl w:ilvl="0">
      <w:lvlJc w:val="left"/>
      <w:lvlText w:val="%1."/>
      <w:numFmt w:val="decimal"/>
      <w:start w:val="1"/>
    </w:lvl>
  </w:abstractNum>
  <w:abstractNum w:abstractNumId="53">
    <w:nsid w:val="2A155DBC"/>
    <w:multiLevelType w:val="hybridMultilevel"/>
    <w:lvl w:ilvl="0">
      <w:lvlJc w:val="left"/>
      <w:lvlText w:val="%1."/>
      <w:numFmt w:val="decimal"/>
      <w:start w:val="2"/>
    </w:lvl>
  </w:abstractNum>
  <w:abstractNum w:abstractNumId="54">
    <w:nsid w:val="1D9F6E5F"/>
    <w:multiLevelType w:val="hybridMultilevel"/>
    <w:lvl w:ilvl="0">
      <w:lvlJc w:val="left"/>
      <w:lvlText w:val="%1."/>
      <w:numFmt w:val="lowerLetter"/>
      <w:start w:val="1"/>
    </w:lvl>
  </w:abstractNum>
  <w:abstractNum w:abstractNumId="55">
    <w:nsid w:val="97E1B4E"/>
    <w:multiLevelType w:val="hybridMultilevel"/>
    <w:lvl w:ilvl="0">
      <w:lvlJc w:val="left"/>
      <w:lvlText w:val="(%1)"/>
      <w:numFmt w:val="lowerLetter"/>
      <w:start w:val="2"/>
    </w:lvl>
  </w:abstractNum>
  <w:abstractNum w:abstractNumId="56">
    <w:nsid w:val="51088277"/>
    <w:multiLevelType w:val="hybridMultilevel"/>
    <w:lvl w:ilvl="0">
      <w:lvlJc w:val="left"/>
      <w:lvlText w:val="%1."/>
      <w:numFmt w:val="decimal"/>
      <w:start w:val="1"/>
    </w:lvl>
  </w:abstractNum>
  <w:abstractNum w:abstractNumId="57">
    <w:nsid w:val="1CA0C5FA"/>
    <w:multiLevelType w:val="hybridMultilevel"/>
    <w:lvl w:ilvl="0">
      <w:lvlJc w:val="left"/>
      <w:lvlText w:val="%1."/>
      <w:numFmt w:val="decimal"/>
      <w:start w:val="4"/>
    </w:lvl>
    <w:lvl w:ilvl="1">
      <w:lvlJc w:val="left"/>
      <w:lvlText w:val="(%2)"/>
      <w:numFmt w:val="lowerLetter"/>
      <w:start w:val="1"/>
    </w:lvl>
  </w:abstractNum>
  <w:abstractNum w:abstractNumId="58">
    <w:nsid w:val="53584BCB"/>
    <w:multiLevelType w:val="hybridMultilevel"/>
    <w:lvl w:ilvl="0">
      <w:lvlJc w:val="left"/>
      <w:lvlText w:val="%1"/>
      <w:numFmt w:val="decimal"/>
      <w:start w:val="1"/>
    </w:lvl>
    <w:lvl w:ilvl="1">
      <w:lvlJc w:val="left"/>
      <w:lvlText w:val="(%2)"/>
      <w:numFmt w:val="lowerLetter"/>
      <w:start w:val="2"/>
    </w:lvl>
  </w:abstractNum>
  <w:abstractNum w:abstractNumId="59">
    <w:nsid w:val="415E286C"/>
    <w:multiLevelType w:val="hybridMultilevel"/>
    <w:lvl w:ilvl="0">
      <w:lvlJc w:val="left"/>
      <w:lvlText w:val="%1."/>
      <w:numFmt w:val="decimal"/>
      <w:start w:val="8"/>
    </w:lvl>
    <w:lvl w:ilvl="1">
      <w:lvlJc w:val="left"/>
      <w:lvlText w:val="(%2)"/>
      <w:numFmt w:val="lowerLetter"/>
      <w:start w:val="1"/>
    </w:lvl>
  </w:abstractNum>
  <w:abstractNum w:abstractNumId="60">
    <w:nsid w:val="7C58FD05"/>
    <w:multiLevelType w:val="hybridMultilevel"/>
    <w:lvl w:ilvl="0">
      <w:lvlJc w:val="left"/>
      <w:lvlText w:val="(%1)"/>
      <w:numFmt w:val="lowerLetter"/>
      <w:start w:val="5"/>
    </w:lvl>
    <w:lvl w:ilvl="1">
      <w:lvlJc w:val="left"/>
      <w:lvlText w:val="(%2)"/>
      <w:numFmt w:val="lowerRoman"/>
      <w:start w:val="1"/>
    </w:lvl>
  </w:abstractNum>
  <w:abstractNum w:abstractNumId="61">
    <w:nsid w:val="23D86AAC"/>
    <w:multiLevelType w:val="hybridMultilevel"/>
    <w:lvl w:ilvl="0">
      <w:lvlJc w:val="left"/>
      <w:lvlText w:val="%1"/>
      <w:numFmt w:val="decimal"/>
      <w:start w:val="1"/>
    </w:lvl>
    <w:lvl w:ilvl="1">
      <w:lvlJc w:val="left"/>
      <w:lvlText w:val="(%2)"/>
      <w:numFmt w:val="lowerLetter"/>
      <w:start w:val="7"/>
    </w:lvl>
  </w:abstractNum>
  <w:abstractNum w:abstractNumId="62">
    <w:nsid w:val="45E6D486"/>
    <w:multiLevelType w:val="hybridMultilevel"/>
    <w:lvl w:ilvl="0">
      <w:lvlJc w:val="left"/>
      <w:lvlText w:val="(%1)"/>
      <w:numFmt w:val="decimal"/>
      <w:start w:val="12"/>
    </w:lvl>
    <w:lvl w:ilvl="1">
      <w:lvlJc w:val="left"/>
      <w:lvlText w:val="%2"/>
      <w:numFmt w:val="lowerLetter"/>
      <w:start w:val="1"/>
    </w:lvl>
  </w:abstractNum>
  <w:abstractNum w:abstractNumId="63">
    <w:nsid w:val="5C10FE21"/>
    <w:multiLevelType w:val="hybridMultilevel"/>
    <w:lvl w:ilvl="0">
      <w:lvlJc w:val="left"/>
      <w:lvlText w:val="%1."/>
      <w:numFmt w:val="decimal"/>
      <w:start w:val="9"/>
    </w:lvl>
    <w:lvl w:ilvl="1">
      <w:lvlJc w:val="left"/>
      <w:lvlText w:val="(%2)"/>
      <w:numFmt w:val="lowerLetter"/>
      <w:start w:val="1"/>
    </w:lvl>
  </w:abstractNum>
  <w:abstractNum w:abstractNumId="64">
    <w:nsid w:val="E7FFA2B"/>
    <w:multiLevelType w:val="hybridMultilevel"/>
    <w:lvl w:ilvl="0">
      <w:lvlJc w:val="left"/>
      <w:lvlText w:val="%1"/>
      <w:numFmt w:val="decimal"/>
      <w:start w:val="1"/>
    </w:lvl>
    <w:lvl w:ilvl="1">
      <w:lvlJc w:val="left"/>
      <w:lvlText w:val="(%2)"/>
      <w:numFmt w:val="lowerLetter"/>
      <w:start w:val="2"/>
    </w:lvl>
  </w:abstractNum>
  <w:abstractNum w:abstractNumId="65">
    <w:nsid w:val="3C5991AA"/>
    <w:multiLevelType w:val="hybridMultilevel"/>
    <w:lvl w:ilvl="0">
      <w:lvlJc w:val="left"/>
      <w:lvlText w:val="%1."/>
      <w:numFmt w:val="decimal"/>
      <w:start w:val="10"/>
    </w:lvl>
    <w:lvl w:ilvl="1">
      <w:lvlJc w:val="left"/>
      <w:lvlText w:val="%2"/>
      <w:numFmt w:val="lowerLetter"/>
      <w:start w:val="1"/>
    </w:lvl>
  </w:abstractNum>
  <w:abstractNum w:abstractNumId="66">
    <w:nsid w:val="4BD8591A"/>
    <w:multiLevelType w:val="hybridMultilevel"/>
    <w:lvl w:ilvl="0">
      <w:lvlJc w:val="left"/>
      <w:lvlText w:val="%1."/>
      <w:numFmt w:val="decimal"/>
      <w:start w:val="11"/>
    </w:lvl>
  </w:abstractNum>
  <w:abstractNum w:abstractNumId="67">
    <w:nsid w:val="78DF6A55"/>
    <w:multiLevelType w:val="hybridMultilevel"/>
    <w:lvl w:ilvl="0">
      <w:lvlJc w:val="left"/>
      <w:lvlText w:val="%1."/>
      <w:numFmt w:val="decimal"/>
      <w:start w:val="12"/>
    </w:lvl>
    <w:lvl w:ilvl="1">
      <w:lvlJc w:val="left"/>
      <w:lvlText w:val="(%2)"/>
      <w:numFmt w:val="lowerLetter"/>
      <w:start w:val="1"/>
    </w:lvl>
  </w:abstractNum>
  <w:abstractNum w:abstractNumId="68">
    <w:nsid w:val="39B7AAA2"/>
    <w:multiLevelType w:val="hybridMultilevel"/>
    <w:lvl w:ilvl="0">
      <w:lvlJc w:val="left"/>
      <w:lvlText w:val="(%1)"/>
      <w:numFmt w:val="lowerLetter"/>
      <w:start w:val="4"/>
    </w:lvl>
  </w:abstractNum>
  <w:abstractNum w:abstractNumId="69">
    <w:nsid w:val="2B0D8DBE"/>
    <w:multiLevelType w:val="hybridMultilevel"/>
    <w:lvl w:ilvl="0">
      <w:lvlJc w:val="left"/>
      <w:lvlText w:val="%1."/>
      <w:numFmt w:val="decimal"/>
      <w:start w:val="1"/>
    </w:lvl>
  </w:abstractNum>
  <w:abstractNum w:abstractNumId="70">
    <w:nsid w:val="6C80EC70"/>
    <w:multiLevelType w:val="hybridMultilevel"/>
    <w:lvl w:ilvl="0">
      <w:lvlJc w:val="left"/>
      <w:lvlText w:val="(%1)"/>
      <w:numFmt w:val="lowerLetter"/>
      <w:start w:val="2"/>
    </w:lvl>
  </w:abstractNum>
  <w:abstractNum w:abstractNumId="71">
    <w:nsid w:val="379E21B5"/>
    <w:multiLevelType w:val="hybridMultilevel"/>
    <w:lvl w:ilvl="0">
      <w:lvlJc w:val="left"/>
      <w:lvlText w:val="%1."/>
      <w:numFmt w:val="decimal"/>
      <w:start w:val="2"/>
    </w:lvl>
  </w:abstractNum>
  <w:abstractNum w:abstractNumId="72">
    <w:nsid w:val="69E373"/>
    <w:multiLevelType w:val="hybridMultilevel"/>
    <w:lvl w:ilvl="0">
      <w:lvlJc w:val="left"/>
      <w:lvlText w:val="(%1)"/>
      <w:numFmt w:val="lowerLetter"/>
      <w:start w:val="1"/>
    </w:lvl>
  </w:abstractNum>
  <w:abstractNum w:abstractNumId="73">
    <w:nsid w:val="2C27173B"/>
    <w:multiLevelType w:val="hybridMultilevel"/>
    <w:lvl w:ilvl="0">
      <w:lvlJc w:val="left"/>
      <w:lvlText w:val="%1."/>
      <w:numFmt w:val="decimal"/>
      <w:start w:val="3"/>
    </w:lvl>
  </w:abstractNum>
  <w:abstractNum w:abstractNumId="74">
    <w:nsid w:val="4C9B0904"/>
    <w:multiLevelType w:val="hybridMultilevel"/>
    <w:lvl w:ilvl="0">
      <w:lvlJc w:val="left"/>
      <w:lvlText w:val="%1."/>
      <w:numFmt w:val="decimal"/>
      <w:start w:val="7"/>
    </w:lvl>
  </w:abstractNum>
  <w:abstractNum w:abstractNumId="75">
    <w:nsid w:val="6AA7B75C"/>
    <w:multiLevelType w:val="hybridMultilevel"/>
    <w:lvl w:ilvl="0">
      <w:lvlJc w:val="left"/>
      <w:lvlText w:val="%1."/>
      <w:numFmt w:val="decimal"/>
      <w:start w:val="10"/>
    </w:lvl>
  </w:abstractNum>
  <w:abstractNum w:abstractNumId="76">
    <w:nsid w:val="1DF029D3"/>
    <w:multiLevelType w:val="hybridMultilevel"/>
    <w:lvl w:ilvl="0">
      <w:lvlJc w:val="left"/>
      <w:lvlText w:val="%1."/>
      <w:numFmt w:val="decimal"/>
      <w:start w:val="11"/>
    </w:lvl>
  </w:abstractNum>
  <w:abstractNum w:abstractNumId="77">
    <w:nsid w:val="5675FF36"/>
    <w:multiLevelType w:val="hybridMultilevel"/>
    <w:lvl w:ilvl="0">
      <w:lvlJc w:val="left"/>
      <w:lvlText w:val="%1."/>
      <w:numFmt w:val="decimal"/>
      <w:start w:val="12"/>
    </w:lvl>
  </w:abstractNum>
  <w:abstractNum w:abstractNumId="78">
    <w:nsid w:val="3DD15094"/>
    <w:multiLevelType w:val="hybridMultilevel"/>
    <w:lvl w:ilvl="0">
      <w:lvlJc w:val="left"/>
      <w:lvlText w:val="%1."/>
      <w:numFmt w:val="decimal"/>
      <w:start w:val="1"/>
    </w:lvl>
  </w:abstractNum>
  <w:abstractNum w:abstractNumId="79">
    <w:nsid w:val="3DB012B3"/>
    <w:multiLevelType w:val="hybridMultilevel"/>
    <w:lvl w:ilvl="0">
      <w:lvlJc w:val="left"/>
      <w:lvlText w:val="%1."/>
      <w:numFmt w:val="decimal"/>
      <w:start w:val="2"/>
    </w:lvl>
  </w:abstractNum>
  <w:abstractNum w:abstractNumId="80">
    <w:nsid w:val="2708C9AF"/>
    <w:multiLevelType w:val="hybridMultilevel"/>
    <w:lvl w:ilvl="0">
      <w:lvlJc w:val="left"/>
      <w:lvlText w:val="%1."/>
      <w:numFmt w:val="lowerLetter"/>
      <w:start w:val="1"/>
    </w:lvl>
  </w:abstractNum>
  <w:abstractNum w:abstractNumId="81">
    <w:nsid w:val="5B25ACE2"/>
    <w:multiLevelType w:val="hybridMultilevel"/>
    <w:lvl w:ilvl="0">
      <w:lvlJc w:val="left"/>
      <w:lvlText w:val="(%1)"/>
      <w:numFmt w:val="lowerLetter"/>
      <w:start w:val="2"/>
    </w:lvl>
  </w:abstractNum>
  <w:abstractNum w:abstractNumId="82">
    <w:nsid w:val="175DFCF0"/>
    <w:multiLevelType w:val="hybridMultilevel"/>
    <w:lvl w:ilvl="0">
      <w:lvlJc w:val="left"/>
      <w:lvlText w:val="%1."/>
      <w:numFmt w:val="decimal"/>
      <w:start w:val="1"/>
    </w:lvl>
  </w:abstractNum>
  <w:abstractNum w:abstractNumId="83">
    <w:nsid w:val="4F97E3E4"/>
    <w:multiLevelType w:val="hybridMultilevel"/>
    <w:lvl w:ilvl="0">
      <w:lvlJc w:val="left"/>
      <w:lvlText w:val="%1."/>
      <w:numFmt w:val="decimal"/>
      <w:start w:val="4"/>
    </w:lvl>
    <w:lvl w:ilvl="1">
      <w:lvlJc w:val="left"/>
      <w:lvlText w:val="(%2)"/>
      <w:numFmt w:val="lowerLetter"/>
      <w:start w:val="1"/>
    </w:lvl>
  </w:abstractNum>
  <w:abstractNum w:abstractNumId="84">
    <w:nsid w:val="53B0A9E"/>
    <w:multiLevelType w:val="hybridMultilevel"/>
    <w:lvl w:ilvl="0">
      <w:lvlJc w:val="left"/>
      <w:lvlText w:val="%1"/>
      <w:numFmt w:val="decimal"/>
      <w:start w:val="1"/>
    </w:lvl>
    <w:lvl w:ilvl="1">
      <w:lvlJc w:val="left"/>
      <w:lvlText w:val="(%2)"/>
      <w:numFmt w:val="lowerLetter"/>
      <w:start w:val="2"/>
    </w:lvl>
  </w:abstractNum>
  <w:abstractNum w:abstractNumId="85">
    <w:nsid w:val="34FD6B4F"/>
    <w:multiLevelType w:val="hybridMultilevel"/>
    <w:lvl w:ilvl="0">
      <w:lvlJc w:val="left"/>
      <w:lvlText w:val="%1."/>
      <w:numFmt w:val="decimal"/>
      <w:start w:val="8"/>
    </w:lvl>
    <w:lvl w:ilvl="1">
      <w:lvlJc w:val="left"/>
      <w:lvlText w:val="(%2)"/>
      <w:numFmt w:val="lowerLetter"/>
      <w:start w:val="1"/>
    </w:lvl>
  </w:abstractNum>
  <w:abstractNum w:abstractNumId="86">
    <w:nsid w:val="5915FF32"/>
    <w:multiLevelType w:val="hybridMultilevel"/>
    <w:lvl w:ilvl="0">
      <w:lvlJc w:val="left"/>
      <w:lvlText w:val="(%1)"/>
      <w:numFmt w:val="lowerLetter"/>
      <w:start w:val="5"/>
    </w:lvl>
    <w:lvl w:ilvl="1">
      <w:lvlJc w:val="left"/>
      <w:lvlText w:val="(%2)"/>
      <w:numFmt w:val="lowerRoman"/>
      <w:start w:val="1"/>
    </w:lvl>
  </w:abstractNum>
  <w:abstractNum w:abstractNumId="87">
    <w:nsid w:val="56438D15"/>
    <w:multiLevelType w:val="hybridMultilevel"/>
    <w:lvl w:ilvl="0">
      <w:lvlJc w:val="left"/>
      <w:lvlText w:val="%1"/>
      <w:numFmt w:val="decimal"/>
      <w:start w:val="1"/>
    </w:lvl>
    <w:lvl w:ilvl="1">
      <w:lvlJc w:val="left"/>
      <w:lvlText w:val="(%2)"/>
      <w:numFmt w:val="lowerLetter"/>
      <w:start w:val="7"/>
    </w:lvl>
  </w:abstractNum>
  <w:abstractNum w:abstractNumId="88">
    <w:nsid w:val="519E3149"/>
    <w:multiLevelType w:val="hybridMultilevel"/>
    <w:lvl w:ilvl="0">
      <w:lvlJc w:val="left"/>
      <w:lvlText w:val="(%1)"/>
      <w:numFmt w:val="decimal"/>
      <w:start w:val="12"/>
    </w:lvl>
    <w:lvl w:ilvl="1">
      <w:lvlJc w:val="left"/>
      <w:lvlText w:val="%2"/>
      <w:numFmt w:val="lowerLetter"/>
      <w:start w:val="1"/>
    </w:lvl>
  </w:abstractNum>
  <w:abstractNum w:abstractNumId="89">
    <w:nsid w:val="2C6E4AFD"/>
    <w:multiLevelType w:val="hybridMultilevel"/>
    <w:lvl w:ilvl="0">
      <w:lvlJc w:val="left"/>
      <w:lvlText w:val="%1."/>
      <w:numFmt w:val="decimal"/>
      <w:start w:val="9"/>
    </w:lvl>
    <w:lvl w:ilvl="1">
      <w:lvlJc w:val="left"/>
      <w:lvlText w:val="(%2)"/>
      <w:numFmt w:val="lowerLetter"/>
      <w:start w:val="1"/>
    </w:lvl>
  </w:abstractNum>
  <w:abstractNum w:abstractNumId="90">
    <w:nsid w:val="17A1B582"/>
    <w:multiLevelType w:val="hybridMultilevel"/>
    <w:lvl w:ilvl="0">
      <w:lvlJc w:val="left"/>
      <w:lvlText w:val="%1"/>
      <w:numFmt w:val="decimal"/>
      <w:start w:val="1"/>
    </w:lvl>
    <w:lvl w:ilvl="1">
      <w:lvlJc w:val="left"/>
      <w:lvlText w:val="(%2)"/>
      <w:numFmt w:val="lowerLetter"/>
      <w:start w:val="2"/>
    </w:lvl>
  </w:abstractNum>
  <w:abstractNum w:abstractNumId="91">
    <w:nsid w:val="4DF72E4E"/>
    <w:multiLevelType w:val="hybridMultilevel"/>
    <w:lvl w:ilvl="0">
      <w:lvlJc w:val="left"/>
      <w:lvlText w:val="%1."/>
      <w:numFmt w:val="decimal"/>
      <w:start w:val="10"/>
    </w:lvl>
    <w:lvl w:ilvl="1">
      <w:lvlJc w:val="left"/>
      <w:lvlText w:val="%2"/>
      <w:numFmt w:val="lowerLetter"/>
      <w:start w:val="1"/>
    </w:lvl>
  </w:abstractNum>
  <w:abstractNum w:abstractNumId="92">
    <w:nsid w:val="5046B5A9"/>
    <w:multiLevelType w:val="hybridMultilevel"/>
    <w:lvl w:ilvl="0">
      <w:lvlJc w:val="left"/>
      <w:lvlText w:val="%1."/>
      <w:numFmt w:val="decimal"/>
      <w:start w:val="11"/>
    </w:lvl>
  </w:abstractNum>
  <w:abstractNum w:abstractNumId="93">
    <w:nsid w:val="5D888A08"/>
    <w:multiLevelType w:val="hybridMultilevel"/>
    <w:lvl w:ilvl="0">
      <w:lvlJc w:val="left"/>
      <w:lvlText w:val="%1."/>
      <w:numFmt w:val="decimal"/>
      <w:start w:val="12"/>
    </w:lvl>
    <w:lvl w:ilvl="1">
      <w:lvlJc w:val="left"/>
      <w:lvlText w:val="(%2)"/>
      <w:numFmt w:val="lowerLetter"/>
      <w:start w:val="1"/>
    </w:lvl>
  </w:abstractNum>
  <w:abstractNum w:abstractNumId="94">
    <w:nsid w:val="2A082C70"/>
    <w:multiLevelType w:val="hybridMultilevel"/>
    <w:lvl w:ilvl="0">
      <w:lvlJc w:val="left"/>
      <w:lvlText w:val="(%1)"/>
      <w:numFmt w:val="lowerLetter"/>
      <w:start w:val="5"/>
    </w:lvl>
  </w:abstractNum>
  <w:abstractNum w:abstractNumId="95">
    <w:nsid w:val="5EC6AFD4"/>
    <w:multiLevelType w:val="hybridMultilevel"/>
    <w:lvl w:ilvl="0">
      <w:lvlJc w:val="left"/>
      <w:lvlText w:val="%1."/>
      <w:numFmt w:val="decimal"/>
      <w:start w:val="1"/>
    </w:lvl>
  </w:abstractNum>
  <w:abstractNum w:abstractNumId="96">
    <w:nsid w:val="19E21BB2"/>
    <w:multiLevelType w:val="hybridMultilevel"/>
    <w:lvl w:ilvl="0">
      <w:lvlJc w:val="left"/>
      <w:lvlText w:val="(%1)"/>
      <w:numFmt w:val="lowerLetter"/>
      <w:start w:val="2"/>
    </w:lvl>
  </w:abstractNum>
  <w:abstractNum w:abstractNumId="97">
    <w:nsid w:val="75E0858A"/>
    <w:multiLevelType w:val="hybridMultilevel"/>
    <w:lvl w:ilvl="0">
      <w:lvlJc w:val="left"/>
      <w:lvlText w:val="%1."/>
      <w:numFmt w:val="decimal"/>
      <w:start w:val="2"/>
    </w:lvl>
  </w:abstractNum>
  <w:abstractNum w:abstractNumId="98">
    <w:nsid w:val="57A61A29"/>
    <w:multiLevelType w:val="hybridMultilevel"/>
    <w:lvl w:ilvl="0">
      <w:lvlJc w:val="left"/>
      <w:lvlText w:val="(%1)"/>
      <w:numFmt w:val="lowerLetter"/>
      <w:start w:val="1"/>
    </w:lvl>
  </w:abstractNum>
  <w:abstractNum w:abstractNumId="99">
    <w:nsid w:val="5399C654"/>
    <w:multiLevelType w:val="hybridMultilevel"/>
    <w:lvl w:ilvl="0">
      <w:lvlJc w:val="left"/>
      <w:lvlText w:val="%1."/>
      <w:numFmt w:val="decimal"/>
      <w:start w:val="3"/>
    </w:lvl>
  </w:abstractNum>
  <w:abstractNum w:abstractNumId="100">
    <w:nsid w:val="20EE1348"/>
    <w:multiLevelType w:val="hybridMultilevel"/>
    <w:lvl w:ilvl="0">
      <w:lvlJc w:val="left"/>
      <w:lvlText w:val="%1."/>
      <w:numFmt w:val="decimal"/>
      <w:start w:val="7"/>
    </w:lvl>
  </w:abstractNum>
  <w:abstractNum w:abstractNumId="101">
    <w:nsid w:val="4427069A"/>
    <w:multiLevelType w:val="hybridMultilevel"/>
    <w:lvl w:ilvl="0">
      <w:lvlJc w:val="left"/>
      <w:lvlText w:val="%1."/>
      <w:numFmt w:val="decimal"/>
      <w:start w:val="10"/>
    </w:lvl>
  </w:abstractNum>
  <w:abstractNum w:abstractNumId="102">
    <w:nsid w:val="B37E80A"/>
    <w:multiLevelType w:val="hybridMultilevel"/>
    <w:lvl w:ilvl="0">
      <w:lvlJc w:val="left"/>
      <w:lvlText w:val="%1."/>
      <w:numFmt w:val="decimal"/>
      <w:start w:val="11"/>
    </w:lvl>
  </w:abstractNum>
  <w:abstractNum w:abstractNumId="103">
    <w:nsid w:val="2157F6BC"/>
    <w:multiLevelType w:val="hybridMultilevel"/>
    <w:lvl w:ilvl="0">
      <w:lvlJc w:val="left"/>
      <w:lvlText w:val="%1."/>
      <w:numFmt w:val="decimal"/>
      <w:start w:val="12"/>
    </w:lvl>
  </w:abstractNum>
  <w:abstractNum w:abstractNumId="104">
    <w:nsid w:val="704E1DD5"/>
    <w:multiLevelType w:val="hybridMultilevel"/>
    <w:lvl w:ilvl="0">
      <w:lvlJc w:val="left"/>
      <w:lvlText w:val="%1."/>
      <w:numFmt w:val="decimal"/>
      <w:start w:val="1"/>
    </w:lvl>
  </w:abstractNum>
  <w:abstractNum w:abstractNumId="105">
    <w:nsid w:val="57D2F10E"/>
    <w:multiLevelType w:val="hybridMultilevel"/>
    <w:lvl w:ilvl="0">
      <w:lvlJc w:val="left"/>
      <w:lvlText w:val="%1."/>
      <w:numFmt w:val="decimal"/>
      <w:start w:val="2"/>
    </w:lvl>
  </w:abstractNum>
  <w:abstractNum w:abstractNumId="106">
    <w:nsid w:val="BFFAE18"/>
    <w:multiLevelType w:val="hybridMultilevel"/>
    <w:lvl w:ilvl="0">
      <w:lvlJc w:val="left"/>
      <w:lvlText w:val="%1."/>
      <w:numFmt w:val="lowerLetter"/>
      <w:start w:val="1"/>
    </w:lvl>
  </w:abstractNum>
  <w:abstractNum w:abstractNumId="107">
    <w:nsid w:val="E3E47A8"/>
    <w:multiLevelType w:val="hybridMultilevel"/>
    <w:lvl w:ilvl="0">
      <w:lvlJc w:val="left"/>
      <w:lvlText w:val="%1."/>
      <w:numFmt w:val="decimal"/>
      <w:start w:val="1"/>
    </w:lvl>
  </w:abstractNum>
  <w:abstractNum w:abstractNumId="108">
    <w:nsid w:val="2E48F044"/>
    <w:multiLevelType w:val="hybridMultilevel"/>
    <w:lvl w:ilvl="0">
      <w:lvlJc w:val="left"/>
      <w:lvlText w:val="%1."/>
      <w:numFmt w:val="decimal"/>
      <w:start w:val="4"/>
    </w:lvl>
    <w:lvl w:ilvl="1">
      <w:lvlJc w:val="left"/>
      <w:lvlText w:val="(%2)"/>
      <w:numFmt w:val="lowerLetter"/>
      <w:start w:val="1"/>
    </w:lvl>
  </w:abstractNum>
  <w:abstractNum w:abstractNumId="109">
    <w:nsid w:val="49D0FEAC"/>
    <w:multiLevelType w:val="hybridMultilevel"/>
    <w:lvl w:ilvl="0">
      <w:lvlJc w:val="left"/>
      <w:lvlText w:val="%1"/>
      <w:numFmt w:val="decimal"/>
      <w:start w:val="1"/>
    </w:lvl>
    <w:lvl w:ilvl="1">
      <w:lvlJc w:val="left"/>
      <w:lvlText w:val="(%2)"/>
      <w:numFmt w:val="lowerLetter"/>
      <w:start w:val="2"/>
    </w:lvl>
  </w:abstractNum>
  <w:abstractNum w:abstractNumId="110">
    <w:nsid w:val="4BEE5A5B"/>
    <w:multiLevelType w:val="hybridMultilevel"/>
    <w:lvl w:ilvl="0">
      <w:lvlJc w:val="left"/>
      <w:lvlText w:val="%1."/>
      <w:numFmt w:val="decimal"/>
      <w:start w:val="8"/>
    </w:lvl>
    <w:lvl w:ilvl="1">
      <w:lvlJc w:val="left"/>
      <w:lvlText w:val="(%2)"/>
      <w:numFmt w:val="lowerLetter"/>
      <w:start w:val="1"/>
    </w:lvl>
  </w:abstractNum>
  <w:abstractNum w:abstractNumId="111">
    <w:nsid w:val="5551B9F3"/>
    <w:multiLevelType w:val="hybridMultilevel"/>
    <w:lvl w:ilvl="0">
      <w:lvlJc w:val="left"/>
      <w:lvlText w:val="(%1)"/>
      <w:numFmt w:val="lowerLetter"/>
      <w:start w:val="5"/>
    </w:lvl>
    <w:lvl w:ilvl="1">
      <w:lvlJc w:val="left"/>
      <w:lvlText w:val="(%2)"/>
      <w:numFmt w:val="lowerRoman"/>
      <w:start w:val="1"/>
    </w:lvl>
  </w:abstractNum>
  <w:abstractNum w:abstractNumId="112">
    <w:nsid w:val="24F6AB8E"/>
    <w:multiLevelType w:val="hybridMultilevel"/>
    <w:lvl w:ilvl="0">
      <w:lvlJc w:val="left"/>
      <w:lvlText w:val="%1"/>
      <w:numFmt w:val="decimal"/>
      <w:start w:val="1"/>
    </w:lvl>
    <w:lvl w:ilvl="1">
      <w:lvlJc w:val="left"/>
      <w:lvlText w:val="(%2)"/>
      <w:numFmt w:val="lowerLetter"/>
      <w:start w:val="7"/>
    </w:lvl>
  </w:abstractNum>
  <w:abstractNum w:abstractNumId="113">
    <w:nsid w:val="634C574C"/>
    <w:multiLevelType w:val="hybridMultilevel"/>
    <w:lvl w:ilvl="0">
      <w:lvlJc w:val="left"/>
      <w:lvlText w:val="(%1)"/>
      <w:numFmt w:val="decimal"/>
      <w:start w:val="12"/>
    </w:lvl>
    <w:lvl w:ilvl="1">
      <w:lvlJc w:val="left"/>
      <w:lvlText w:val="%2"/>
      <w:numFmt w:val="lowerLetter"/>
      <w:start w:val="1"/>
    </w:lvl>
  </w:abstractNum>
  <w:abstractNum w:abstractNumId="114">
    <w:nsid w:val="24E99DD7"/>
    <w:multiLevelType w:val="hybridMultilevel"/>
    <w:lvl w:ilvl="0">
      <w:lvlJc w:val="left"/>
      <w:lvlText w:val="%1."/>
      <w:numFmt w:val="decimal"/>
      <w:start w:val="9"/>
    </w:lvl>
    <w:lvl w:ilvl="1">
      <w:lvlJc w:val="left"/>
      <w:lvlText w:val="(%2)"/>
      <w:numFmt w:val="lowerLetter"/>
      <w:start w:val="1"/>
    </w:lvl>
  </w:abstractNum>
  <w:abstractNum w:abstractNumId="115">
    <w:nsid w:val="2A31B62D"/>
    <w:multiLevelType w:val="hybridMultilevel"/>
    <w:lvl w:ilvl="0">
      <w:lvlJc w:val="left"/>
      <w:lvlText w:val="%1"/>
      <w:numFmt w:val="decimal"/>
      <w:start w:val="1"/>
    </w:lvl>
    <w:lvl w:ilvl="1">
      <w:lvlJc w:val="left"/>
      <w:lvlText w:val="(%2)"/>
      <w:numFmt w:val="lowerLetter"/>
      <w:start w:val="2"/>
    </w:lvl>
  </w:abstractNum>
  <w:abstractNum w:abstractNumId="116">
    <w:nsid w:val="1849C29B"/>
    <w:multiLevelType w:val="hybridMultilevel"/>
    <w:lvl w:ilvl="0">
      <w:lvlJc w:val="left"/>
      <w:lvlText w:val="%1."/>
      <w:numFmt w:val="decimal"/>
      <w:start w:val="10"/>
    </w:lvl>
    <w:lvl w:ilvl="1">
      <w:lvlJc w:val="left"/>
      <w:lvlText w:val="%2"/>
      <w:numFmt w:val="lowerLetter"/>
      <w:start w:val="1"/>
    </w:lvl>
  </w:abstractNum>
  <w:abstractNum w:abstractNumId="117">
    <w:nsid w:val="7DFF9D09"/>
    <w:multiLevelType w:val="hybridMultilevel"/>
    <w:lvl w:ilvl="0">
      <w:lvlJc w:val="left"/>
      <w:lvlText w:val="%1."/>
      <w:numFmt w:val="decimal"/>
      <w:start w:val="11"/>
    </w:lvl>
  </w:abstractNum>
  <w:abstractNum w:abstractNumId="118">
    <w:nsid w:val="754342"/>
    <w:multiLevelType w:val="hybridMultilevel"/>
    <w:lvl w:ilvl="0">
      <w:lvlJc w:val="left"/>
      <w:lvlText w:val="%1."/>
      <w:numFmt w:val="decimal"/>
      <w:start w:val="12"/>
    </w:lvl>
    <w:lvl w:ilvl="1">
      <w:lvlJc w:val="left"/>
      <w:lvlText w:val="(%2)"/>
      <w:numFmt w:val="lowerLetter"/>
      <w:start w:val="1"/>
    </w:lvl>
  </w:abstractNum>
  <w:abstractNum w:abstractNumId="119">
    <w:nsid w:val="69E7F3E5"/>
    <w:multiLevelType w:val="hybridMultilevel"/>
    <w:lvl w:ilvl="0">
      <w:lvlJc w:val="left"/>
      <w:lvlText w:val="(%1)"/>
      <w:numFmt w:val="lowerLetter"/>
      <w:start w:val="4"/>
    </w:lvl>
  </w:abstractNum>
  <w:abstractNum w:abstractNumId="120">
    <w:nsid w:val="2A6DE806"/>
    <w:multiLevelType w:val="hybridMultilevel"/>
    <w:lvl w:ilvl="0">
      <w:lvlJc w:val="left"/>
      <w:lvlText w:val="%1."/>
      <w:numFmt w:val="decimal"/>
      <w:start w:val="1"/>
    </w:lvl>
  </w:abstractNum>
  <w:abstractNum w:abstractNumId="121">
    <w:nsid w:val="1816F8C4"/>
    <w:multiLevelType w:val="hybridMultilevel"/>
    <w:lvl w:ilvl="0">
      <w:lvlJc w:val="left"/>
      <w:lvlText w:val="(%1)"/>
      <w:numFmt w:val="lowerLetter"/>
      <w:start w:val="2"/>
    </w:lvl>
  </w:abstractNum>
  <w:abstractNum w:abstractNumId="122">
    <w:nsid w:val="37DF2233"/>
    <w:multiLevelType w:val="hybridMultilevel"/>
    <w:lvl w:ilvl="0">
      <w:lvlJc w:val="left"/>
      <w:lvlText w:val="%1."/>
      <w:numFmt w:val="decimal"/>
      <w:start w:val="2"/>
    </w:lvl>
  </w:abstractNum>
  <w:abstractNum w:abstractNumId="123">
    <w:nsid w:val="7AB49DAF"/>
    <w:multiLevelType w:val="hybridMultilevel"/>
    <w:lvl w:ilvl="0">
      <w:lvlJc w:val="left"/>
      <w:lvlText w:val="(%1)"/>
      <w:numFmt w:val="lowerLetter"/>
      <w:start w:val="1"/>
    </w:lvl>
  </w:abstractNum>
  <w:abstractNum w:abstractNumId="124">
    <w:nsid w:val="759F82CD"/>
    <w:multiLevelType w:val="hybridMultilevel"/>
    <w:lvl w:ilvl="0">
      <w:lvlJc w:val="left"/>
      <w:lvlText w:val="%1."/>
      <w:numFmt w:val="decimal"/>
      <w:start w:val="3"/>
    </w:lvl>
  </w:abstractNum>
  <w:abstractNum w:abstractNumId="125">
    <w:nsid w:val="61E74EA3"/>
    <w:multiLevelType w:val="hybridMultilevel"/>
    <w:lvl w:ilvl="0">
      <w:lvlJc w:val="left"/>
      <w:lvlText w:val="%1."/>
      <w:numFmt w:val="decimal"/>
      <w:start w:val="7"/>
    </w:lvl>
  </w:abstractNum>
  <w:abstractNum w:abstractNumId="126">
    <w:nsid w:val="597B4D84"/>
    <w:multiLevelType w:val="hybridMultilevel"/>
    <w:lvl w:ilvl="0">
      <w:lvlJc w:val="left"/>
      <w:lvlText w:val="%1."/>
      <w:numFmt w:val="decimal"/>
      <w:start w:val="10"/>
    </w:lvl>
  </w:abstractNum>
  <w:abstractNum w:abstractNumId="127">
    <w:nsid w:val="F819E7F"/>
    <w:multiLevelType w:val="hybridMultilevel"/>
    <w:lvl w:ilvl="0">
      <w:lvlJc w:val="left"/>
      <w:lvlText w:val="%1."/>
      <w:numFmt w:val="decimal"/>
      <w:start w:val="11"/>
    </w:lvl>
  </w:abstractNum>
  <w:abstractNum w:abstractNumId="128">
    <w:nsid w:val="57C7D42D"/>
    <w:multiLevelType w:val="hybridMultilevel"/>
    <w:lvl w:ilvl="0">
      <w:lvlJc w:val="left"/>
      <w:lvlText w:val="%1."/>
      <w:numFmt w:val="decimal"/>
      <w:start w:val="12"/>
    </w:lvl>
  </w:abstractNum>
  <w:abstractNum w:abstractNumId="129">
    <w:nsid w:val="312167AD"/>
    <w:multiLevelType w:val="hybridMultilevel"/>
    <w:lvl w:ilvl="0">
      <w:lvlJc w:val="left"/>
      <w:lvlText w:val="%1."/>
      <w:numFmt w:val="decimal"/>
      <w:start w:val="1"/>
    </w:lvl>
  </w:abstractNum>
  <w:abstractNum w:abstractNumId="130">
    <w:nsid w:val="631B64D4"/>
    <w:multiLevelType w:val="hybridMultilevel"/>
    <w:lvl w:ilvl="0">
      <w:lvlJc w:val="left"/>
      <w:lvlText w:val="%1."/>
      <w:numFmt w:val="decimal"/>
      <w:start w:val="2"/>
    </w:lvl>
  </w:abstractNum>
  <w:abstractNum w:abstractNumId="131">
    <w:nsid w:val="78B5E776"/>
    <w:multiLevelType w:val="hybridMultilevel"/>
    <w:lvl w:ilvl="0">
      <w:lvlJc w:val="left"/>
      <w:lvlText w:val="%1."/>
      <w:numFmt w:val="lowerLetter"/>
      <w:start w:val="1"/>
    </w:lvl>
  </w:abstractNum>
  <w:abstractNum w:abstractNumId="132">
    <w:nsid w:val="75486E47"/>
    <w:multiLevelType w:val="hybridMultilevel"/>
    <w:lvl w:ilvl="0">
      <w:lvlJc w:val="left"/>
      <w:lvlText w:val="(%1)"/>
      <w:numFmt w:val="lowerLetter"/>
      <w:start w:val="2"/>
    </w:lvl>
  </w:abstractNum>
  <w:abstractNum w:abstractNumId="133">
    <w:nsid w:val="6E534CDE"/>
    <w:multiLevelType w:val="hybridMultilevel"/>
    <w:lvl w:ilvl="0">
      <w:lvlJc w:val="left"/>
      <w:lvlText w:val="%1."/>
      <w:numFmt w:val="decimal"/>
      <w:start w:val="1"/>
    </w:lvl>
  </w:abstractNum>
  <w:abstractNum w:abstractNumId="134">
    <w:nsid w:val="1A0DDE32"/>
    <w:multiLevelType w:val="hybridMultilevel"/>
    <w:lvl w:ilvl="0">
      <w:lvlJc w:val="left"/>
      <w:lvlText w:val="%1."/>
      <w:numFmt w:val="decimal"/>
      <w:start w:val="4"/>
    </w:lvl>
    <w:lvl w:ilvl="1">
      <w:lvlJc w:val="left"/>
      <w:lvlText w:val="(%2)"/>
      <w:numFmt w:val="lowerLetter"/>
      <w:start w:val="1"/>
    </w:lvl>
  </w:abstractNum>
  <w:abstractNum w:abstractNumId="135">
    <w:nsid w:val="65968C1C"/>
    <w:multiLevelType w:val="hybridMultilevel"/>
    <w:lvl w:ilvl="0">
      <w:lvlJc w:val="left"/>
      <w:lvlText w:val="%1"/>
      <w:numFmt w:val="decimal"/>
      <w:start w:val="1"/>
    </w:lvl>
    <w:lvl w:ilvl="1">
      <w:lvlJc w:val="left"/>
      <w:lvlText w:val="(%2)"/>
      <w:numFmt w:val="lowerLetter"/>
      <w:start w:val="2"/>
    </w:lvl>
  </w:abstractNum>
  <w:abstractNum w:abstractNumId="136">
    <w:nsid w:val="46263DEC"/>
    <w:multiLevelType w:val="hybridMultilevel"/>
    <w:lvl w:ilvl="0">
      <w:lvlJc w:val="left"/>
      <w:lvlText w:val="%1."/>
      <w:numFmt w:val="decimal"/>
      <w:start w:val="8"/>
    </w:lvl>
    <w:lvl w:ilvl="1">
      <w:lvlJc w:val="left"/>
      <w:lvlText w:val="(%2)"/>
      <w:numFmt w:val="lowerLetter"/>
      <w:start w:val="1"/>
    </w:lvl>
  </w:abstractNum>
  <w:abstractNum w:abstractNumId="137">
    <w:nsid w:val="260D8C4A"/>
    <w:multiLevelType w:val="hybridMultilevel"/>
    <w:lvl w:ilvl="0">
      <w:lvlJc w:val="left"/>
      <w:lvlText w:val="(%1)"/>
      <w:numFmt w:val="lowerLetter"/>
      <w:start w:val="5"/>
    </w:lvl>
    <w:lvl w:ilvl="1">
      <w:lvlJc w:val="left"/>
      <w:lvlText w:val="(%2)"/>
      <w:numFmt w:val="lowerRoman"/>
      <w:start w:val="1"/>
    </w:lvl>
  </w:abstractNum>
  <w:abstractNum w:abstractNumId="138">
    <w:nsid w:val="73D4D3C4"/>
    <w:multiLevelType w:val="hybridMultilevel"/>
    <w:lvl w:ilvl="0">
      <w:lvlJc w:val="left"/>
      <w:lvlText w:val="%1"/>
      <w:numFmt w:val="decimal"/>
      <w:start w:val="1"/>
    </w:lvl>
    <w:lvl w:ilvl="1">
      <w:lvlJc w:val="left"/>
      <w:lvlText w:val="(%2)"/>
      <w:numFmt w:val="lowerLetter"/>
      <w:start w:val="7"/>
    </w:lvl>
  </w:abstractNum>
  <w:abstractNum w:abstractNumId="139">
    <w:nsid w:val="746F2E30"/>
    <w:multiLevelType w:val="hybridMultilevel"/>
    <w:lvl w:ilvl="0">
      <w:lvlJc w:val="left"/>
      <w:lvlText w:val="(%1)"/>
      <w:numFmt w:val="decimal"/>
      <w:start w:val="12"/>
    </w:lvl>
    <w:lvl w:ilvl="1">
      <w:lvlJc w:val="left"/>
      <w:lvlText w:val="%2"/>
      <w:numFmt w:val="lowerLetter"/>
      <w:start w:val="1"/>
    </w:lvl>
  </w:abstractNum>
  <w:abstractNum w:abstractNumId="140">
    <w:nsid w:val="6FDE8AF6"/>
    <w:multiLevelType w:val="hybridMultilevel"/>
    <w:lvl w:ilvl="0">
      <w:lvlJc w:val="left"/>
      <w:lvlText w:val="%1."/>
      <w:numFmt w:val="decimal"/>
      <w:start w:val="9"/>
    </w:lvl>
    <w:lvl w:ilvl="1">
      <w:lvlJc w:val="left"/>
      <w:lvlText w:val="(%2)"/>
      <w:numFmt w:val="lowerLetter"/>
      <w:start w:val="1"/>
    </w:lvl>
  </w:abstractNum>
  <w:abstractNum w:abstractNumId="141">
    <w:nsid w:val="3FC32E20"/>
    <w:multiLevelType w:val="hybridMultilevel"/>
    <w:lvl w:ilvl="0">
      <w:lvlJc w:val="left"/>
      <w:lvlText w:val="%1"/>
      <w:numFmt w:val="decimal"/>
      <w:start w:val="1"/>
    </w:lvl>
    <w:lvl w:ilvl="1">
      <w:lvlJc w:val="left"/>
      <w:lvlText w:val="(%2)"/>
      <w:numFmt w:val="lowerLetter"/>
      <w:start w:val="2"/>
    </w:lvl>
  </w:abstractNum>
  <w:abstractNum w:abstractNumId="142">
    <w:nsid w:val="49C0E823"/>
    <w:multiLevelType w:val="hybridMultilevel"/>
    <w:lvl w:ilvl="0">
      <w:lvlJc w:val="left"/>
      <w:lvlText w:val="%1."/>
      <w:numFmt w:val="decimal"/>
      <w:start w:val="10"/>
    </w:lvl>
    <w:lvl w:ilvl="1">
      <w:lvlJc w:val="left"/>
      <w:lvlText w:val="%2"/>
      <w:numFmt w:val="lowerLetter"/>
      <w:start w:val="1"/>
    </w:lvl>
  </w:abstractNum>
  <w:abstractNum w:abstractNumId="143">
    <w:nsid w:val="14D53685"/>
    <w:multiLevelType w:val="hybridMultilevel"/>
    <w:lvl w:ilvl="0">
      <w:lvlJc w:val="left"/>
      <w:lvlText w:val="%1."/>
      <w:numFmt w:val="decimal"/>
      <w:start w:val="11"/>
    </w:lvl>
  </w:abstractNum>
  <w:abstractNum w:abstractNumId="144">
    <w:nsid w:val="230F856C"/>
    <w:multiLevelType w:val="hybridMultilevel"/>
    <w:lvl w:ilvl="0">
      <w:lvlJc w:val="left"/>
      <w:lvlText w:val="%1."/>
      <w:numFmt w:val="decimal"/>
      <w:start w:val="12"/>
    </w:lvl>
    <w:lvl w:ilvl="1">
      <w:lvlJc w:val="left"/>
      <w:lvlText w:val="(%2)"/>
      <w:numFmt w:val="lowerLetter"/>
      <w:start w:val="1"/>
    </w:lvl>
  </w:abstractNum>
  <w:abstractNum w:abstractNumId="145">
    <w:nsid w:val="6EAA85FB"/>
    <w:multiLevelType w:val="hybridMultilevel"/>
    <w:lvl w:ilvl="0">
      <w:lvlJc w:val="left"/>
      <w:lvlText w:val="(%1)"/>
      <w:numFmt w:val="lowerLetter"/>
      <w:start w:val="4"/>
    </w:lvl>
  </w:abstractNum>
  <w:abstractNum w:abstractNumId="146">
    <w:nsid w:val="3F06ECB2"/>
    <w:multiLevelType w:val="hybridMultilevel"/>
    <w:lvl w:ilvl="0">
      <w:lvlJc w:val="left"/>
      <w:lvlText w:val="%1."/>
      <w:numFmt w:val="decimal"/>
      <w:start w:val="1"/>
    </w:lvl>
  </w:abstractNum>
  <w:abstractNum w:abstractNumId="147">
    <w:nsid w:val="3B594807"/>
    <w:multiLevelType w:val="hybridMultilevel"/>
    <w:lvl w:ilvl="0">
      <w:lvlJc w:val="left"/>
      <w:lvlText w:val="(%1)"/>
      <w:numFmt w:val="lowerLetter"/>
      <w:start w:val="2"/>
    </w:lvl>
  </w:abstractNum>
  <w:abstractNum w:abstractNumId="148">
    <w:nsid w:val="6CAA2304"/>
    <w:multiLevelType w:val="hybridMultilevel"/>
    <w:lvl w:ilvl="0">
      <w:lvlJc w:val="left"/>
      <w:lvlText w:val="%1."/>
      <w:numFmt w:val="decimal"/>
      <w:start w:val="2"/>
    </w:lvl>
  </w:abstractNum>
  <w:abstractNum w:abstractNumId="149">
    <w:nsid w:val="3F7C2FF4"/>
    <w:multiLevelType w:val="hybridMultilevel"/>
    <w:lvl w:ilvl="0">
      <w:lvlJc w:val="left"/>
      <w:lvlText w:val="(%1)"/>
      <w:numFmt w:val="lowerLetter"/>
      <w:start w:val="1"/>
    </w:lvl>
  </w:abstractNum>
  <w:abstractNum w:abstractNumId="150">
    <w:nsid w:val="25413BEC"/>
    <w:multiLevelType w:val="hybridMultilevel"/>
    <w:lvl w:ilvl="0">
      <w:lvlJc w:val="left"/>
      <w:lvlText w:val="%1."/>
      <w:numFmt w:val="decimal"/>
      <w:start w:val="3"/>
    </w:lvl>
  </w:abstractNum>
  <w:abstractNum w:abstractNumId="151">
    <w:nsid w:val="17180B0B"/>
    <w:multiLevelType w:val="hybridMultilevel"/>
    <w:lvl w:ilvl="0">
      <w:lvlJc w:val="left"/>
      <w:lvlText w:val="%1."/>
      <w:numFmt w:val="decimal"/>
      <w:start w:val="7"/>
    </w:lvl>
  </w:abstractNum>
  <w:abstractNum w:abstractNumId="152">
    <w:nsid w:val="579328B9"/>
    <w:multiLevelType w:val="hybridMultilevel"/>
    <w:lvl w:ilvl="0">
      <w:lvlJc w:val="left"/>
      <w:lvlText w:val="%1."/>
      <w:numFmt w:val="decimal"/>
      <w:start w:val="10"/>
    </w:lvl>
  </w:abstractNum>
  <w:abstractNum w:abstractNumId="153">
    <w:nsid w:val="5D205E20"/>
    <w:multiLevelType w:val="hybridMultilevel"/>
    <w:lvl w:ilvl="0">
      <w:lvlJc w:val="left"/>
      <w:lvlText w:val="%1."/>
      <w:numFmt w:val="decimal"/>
      <w:start w:val="11"/>
    </w:lvl>
  </w:abstractNum>
  <w:abstractNum w:abstractNumId="154">
    <w:nsid w:val="11CCA8BA"/>
    <w:multiLevelType w:val="hybridMultilevel"/>
    <w:lvl w:ilvl="0">
      <w:lvlJc w:val="left"/>
      <w:lvlText w:val="%1."/>
      <w:numFmt w:val="decimal"/>
      <w:start w:val="12"/>
    </w:lvl>
  </w:abstractNum>
  <w:abstractNum w:abstractNumId="155">
    <w:nsid w:val="4D32AB86"/>
    <w:multiLevelType w:val="hybridMultilevel"/>
    <w:lvl w:ilvl="0">
      <w:lvlJc w:val="left"/>
      <w:lvlText w:val="%1."/>
      <w:numFmt w:val="decimal"/>
      <w:start w:val="1"/>
    </w:lvl>
  </w:abstractNum>
  <w:abstractNum w:abstractNumId="156">
    <w:nsid w:val="3F07ACC3"/>
    <w:multiLevelType w:val="hybridMultilevel"/>
    <w:lvl w:ilvl="0">
      <w:lvlJc w:val="left"/>
      <w:lvlText w:val="%1."/>
      <w:numFmt w:val="decimal"/>
      <w:start w:val="2"/>
    </w:lvl>
  </w:abstractNum>
  <w:abstractNum w:abstractNumId="157">
    <w:nsid w:val="6B47F63E"/>
    <w:multiLevelType w:val="hybridMultilevel"/>
    <w:lvl w:ilvl="0">
      <w:lvlJc w:val="left"/>
      <w:lvlText w:val="%1."/>
      <w:numFmt w:val="lowerLetter"/>
      <w:start w:val="1"/>
    </w:lvl>
  </w:abstractNum>
  <w:abstractNum w:abstractNumId="158">
    <w:nsid w:val="5CB44A05"/>
    <w:multiLevelType w:val="hybridMultilevel"/>
    <w:lvl w:ilvl="0">
      <w:lvlJc w:val="left"/>
      <w:lvlText w:val="(%1)"/>
      <w:numFmt w:val="lowerLetter"/>
      <w:start w:val="2"/>
    </w:lvl>
  </w:abstractNum>
  <w:abstractNum w:abstractNumId="159">
    <w:nsid w:val="16CF80F1"/>
    <w:multiLevelType w:val="hybridMultilevel"/>
    <w:lvl w:ilvl="0">
      <w:lvlJc w:val="left"/>
      <w:lvlText w:val="%1."/>
      <w:numFmt w:val="decimal"/>
      <w:start w:val="1"/>
    </w:lvl>
    <w:lvl w:ilvl="1">
      <w:lvlJc w:val="left"/>
      <w:lvlText w:val="%2)"/>
      <w:numFmt w:val="lowerLetter"/>
      <w:start w:val="1"/>
    </w:lvl>
  </w:abstractNum>
  <w:abstractNum w:abstractNumId="160">
    <w:nsid w:val="1C695DEC"/>
    <w:multiLevelType w:val="hybridMultilevel"/>
    <w:lvl w:ilvl="0">
      <w:lvlJc w:val="left"/>
      <w:lvlText w:val="%1."/>
      <w:numFmt w:val="decimal"/>
      <w:start w:val="1"/>
    </w:lvl>
    <w:lvl w:ilvl="1">
      <w:lvlJc w:val="left"/>
      <w:lvlText w:val="%2)"/>
      <w:numFmt w:val="lowerLetter"/>
      <w:start w:val="1"/>
    </w:lvl>
  </w:abstractNum>
  <w:abstractNum w:abstractNumId="161">
    <w:nsid w:val="3FCFAED9"/>
    <w:multiLevelType w:val="hybridMultilevel"/>
    <w:lvl w:ilvl="0">
      <w:lvlJc w:val="left"/>
      <w:lvlText w:val="•"/>
      <w:numFmt w:val="bullet"/>
      <w:start w:val="1"/>
    </w:lvl>
  </w:abstractNum>
  <w:abstractNum w:abstractNumId="162">
    <w:nsid w:val="F8568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2019-12-28T11:32:53Z</dcterms:created>
  <dcterms:modified xsi:type="dcterms:W3CDTF">2019-12-28T11:32:53Z</dcterms:modified>
</cp:coreProperties>
</file>