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sectPr>
      </w:pPr>
    </w:p>
    <w:p>
      <w:pPr>
        <w:spacing w:after="0" w:line="81"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For the quarterly period ended January 31, 2022</w:t>
      </w:r>
    </w:p>
    <w:p>
      <w:pPr>
        <w:sectPr>
          <w:pgSz w:w="11900" w:h="16838" w:orient="portrait"/>
          <w:cols w:equalWidth="0" w:num="1">
            <w:col w:w="11240"/>
          </w:cols>
          <w:pgMar w:left="320" w:top="1084" w:right="339" w:bottom="1440" w:gutter="0" w:footer="0" w:header="0"/>
          <w:type w:val="continuous"/>
        </w:sectPr>
      </w:pPr>
    </w:p>
    <w:p>
      <w:pPr>
        <w:spacing w:after="0" w:line="124"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spacing w:after="0" w:line="26"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20" w:lineRule="exact"/>
        <w:rPr>
          <w:sz w:val="24"/>
          <w:szCs w:val="24"/>
          <w:color w:val="auto"/>
        </w:rPr>
      </w:pPr>
    </w:p>
    <w:p>
      <w:pPr>
        <w:sectPr>
          <w:pgSz w:w="11900" w:h="16838" w:orient="portrait"/>
          <w:cols w:equalWidth="0" w:num="2">
            <w:col w:w="6100" w:space="640"/>
            <w:col w:w="450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type w:val="continuous"/>
        </w:sectPr>
      </w:pPr>
    </w:p>
    <w:p>
      <w:pPr>
        <w:spacing w:after="0" w:line="165"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31" w:lineRule="exact"/>
        <w:rPr>
          <w:sz w:val="24"/>
          <w:szCs w:val="24"/>
          <w:color w:val="auto"/>
        </w:rPr>
      </w:pPr>
    </w:p>
    <w:p>
      <w:pPr>
        <w:sectPr>
          <w:pgSz w:w="11900" w:h="16838" w:orient="portrait"/>
          <w:cols w:equalWidth="0" w:num="2">
            <w:col w:w="7480" w:space="720"/>
            <w:col w:w="3040"/>
          </w:cols>
          <w:pgMar w:left="320" w:top="1084" w:right="339" w:bottom="1440" w:gutter="0" w:footer="0" w:header="0"/>
          <w:type w:val="continuous"/>
        </w:sectPr>
      </w:pPr>
    </w:p>
    <w:p>
      <w:pPr>
        <w:spacing w:after="0" w:line="12"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(State or other jurisdiction of</w:t>
      </w:r>
    </w:p>
    <w:p>
      <w:pPr>
        <w:ind w:left="20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360" w:space="720"/>
            <w:col w:w="3160"/>
          </w:cols>
          <w:pgMar w:left="320" w:top="1084" w:right="339" w:bottom="1440" w:gutter="0" w:footer="0" w:header="0"/>
          <w:type w:val="continuous"/>
        </w:sectPr>
      </w:pPr>
    </w:p>
    <w:p>
      <w:pPr>
        <w:ind w:left="4100"/>
        <w:spacing w:after="0"/>
        <w:rPr>
          <w:sz w:val="20"/>
          <w:szCs w:val="20"/>
          <w:color w:val="auto"/>
        </w:rPr>
      </w:pPr>
      <w:r>
        <w:rPr>
          <w:rFonts w:ascii="Arial" w:cs="Arial" w:eastAsia="Arial" w:hAnsi="Arial"/>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Ramon, California 94583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w:t>
            </w: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12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80"/>
        <w:spacing w:after="0" w:line="27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February 25, 2022, 49,301,550 shares of Common Stock, $0.10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color w:val="auto"/>
              </w:rPr>
              <w:t>Page No.</w:t>
            </w:r>
          </w:p>
        </w:tc>
      </w:tr>
      <w:tr>
        <w:trPr>
          <w:trHeight w:val="176"/>
        </w:trPr>
        <w:tc>
          <w:tcPr>
            <w:tcW w:w="1320" w:type="dxa"/>
            <w:vAlign w:val="bottom"/>
            <w:gridSpan w:val="3"/>
          </w:tcPr>
          <w:p>
            <w:pPr>
              <w:spacing w:after="0" w:line="176" w:lineRule="exact"/>
              <w:rPr>
                <w:sz w:val="20"/>
                <w:szCs w:val="20"/>
                <w:color w:val="auto"/>
              </w:rPr>
            </w:pPr>
            <w:r>
              <w:rPr>
                <w:rFonts w:ascii="Arial" w:cs="Arial" w:eastAsia="Arial" w:hAnsi="Arial"/>
                <w:sz w:val="18"/>
                <w:szCs w:val="18"/>
                <w:color w:val="auto"/>
              </w:rPr>
              <w:t>PART I.</w:t>
            </w:r>
          </w:p>
        </w:tc>
        <w:tc>
          <w:tcPr>
            <w:tcW w:w="8300" w:type="dxa"/>
            <w:vAlign w:val="bottom"/>
            <w:gridSpan w:val="20"/>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Financial Statements</w:t>
              </w:r>
            </w:hyperlink>
          </w:p>
        </w:tc>
        <w:tc>
          <w:tcPr>
            <w:tcW w:w="600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Income and Comprehensive Income</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11"/>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Consolidated Condensed Balance Sheets</w:t>
              </w:r>
            </w:hyperlink>
          </w:p>
        </w:tc>
        <w:tc>
          <w:tcPr>
            <w:tcW w:w="1680" w:type="dxa"/>
            <w:vAlign w:val="bottom"/>
            <w:gridSpan w:val="6"/>
          </w:tcPr>
          <w:p>
            <w:pPr>
              <w:spacing w:after="0"/>
              <w:rPr>
                <w:sz w:val="24"/>
                <w:szCs w:val="24"/>
                <w:color w:val="auto"/>
              </w:rPr>
            </w:pPr>
          </w:p>
        </w:tc>
        <w:tc>
          <w:tcPr>
            <w:tcW w:w="3560" w:type="dxa"/>
            <w:vAlign w:val="bottom"/>
            <w:gridSpan w:val="2"/>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Condensed Statements of Stockholders' Equity</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Consolidated Condensed Statements of Cash Flows</w:t>
              </w:r>
            </w:hyperlink>
          </w:p>
        </w:tc>
        <w:tc>
          <w:tcPr>
            <w:tcW w:w="640" w:type="dxa"/>
            <w:vAlign w:val="bottom"/>
            <w:gridSpan w:val="4"/>
          </w:tcPr>
          <w:p>
            <w:pPr>
              <w:spacing w:after="0"/>
              <w:rPr>
                <w:sz w:val="24"/>
                <w:szCs w:val="24"/>
                <w:color w:val="auto"/>
              </w:rPr>
            </w:pPr>
          </w:p>
        </w:tc>
        <w:tc>
          <w:tcPr>
            <w:tcW w:w="3820" w:type="dxa"/>
            <w:vAlign w:val="bottom"/>
            <w:gridSpan w:val="3"/>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Condensed Financial Statements</w:t>
              </w:r>
            </w:hyperlink>
          </w:p>
        </w:tc>
        <w:tc>
          <w:tcPr>
            <w:tcW w:w="16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Management’s Discussion and Analysis of Financial Condition and Results of Operations</w:t>
              </w:r>
            </w:hyperlink>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24</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300" w:type="dxa"/>
            <w:vAlign w:val="bottom"/>
            <w:gridSpan w:val="2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 About Market Risk</w:t>
              </w:r>
            </w:hyperlink>
          </w:p>
        </w:tc>
        <w:tc>
          <w:tcPr>
            <w:tcW w:w="158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Controls and Procedures</w:t>
              </w:r>
            </w:hyperlink>
          </w:p>
        </w:tc>
        <w:tc>
          <w:tcPr>
            <w:tcW w:w="2500" w:type="dxa"/>
            <w:vAlign w:val="bottom"/>
            <w:tcBorders>
              <w:top w:val="single" w:sz="8" w:color="0000FF"/>
            </w:tcBorders>
            <w:gridSpan w:val="8"/>
          </w:tcPr>
          <w:p>
            <w:pPr>
              <w:spacing w:after="0"/>
              <w:rPr>
                <w:sz w:val="24"/>
                <w:szCs w:val="24"/>
                <w:color w:val="auto"/>
              </w:rPr>
            </w:pPr>
          </w:p>
        </w:tc>
        <w:tc>
          <w:tcPr>
            <w:tcW w:w="4020" w:type="dxa"/>
            <w:vAlign w:val="bottom"/>
            <w:gridSpan w:val="5"/>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c>
          <w:tcPr>
            <w:tcW w:w="20" w:type="dxa"/>
            <w:vAlign w:val="bottom"/>
          </w:tcPr>
          <w:p>
            <w:pPr>
              <w:spacing w:after="0"/>
              <w:rPr>
                <w:sz w:val="24"/>
                <w:szCs w:val="24"/>
                <w:color w:val="auto"/>
              </w:rPr>
            </w:pPr>
          </w:p>
        </w:tc>
      </w:tr>
      <w:tr>
        <w:trPr>
          <w:trHeight w:val="304"/>
        </w:trPr>
        <w:tc>
          <w:tcPr>
            <w:tcW w:w="132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41">
              <w:r>
                <w:rPr>
                  <w:rFonts w:ascii="Arial" w:cs="Arial" w:eastAsia="Arial" w:hAnsi="Arial"/>
                  <w:sz w:val="18"/>
                  <w:szCs w:val="18"/>
                  <w:color w:val="0000FF"/>
                  <w:w w:val="95"/>
                </w:rPr>
                <w:t>OTHER INFORMATION</w:t>
              </w:r>
            </w:hyperlink>
          </w:p>
        </w:tc>
        <w:tc>
          <w:tcPr>
            <w:tcW w:w="6420" w:type="dxa"/>
            <w:vAlign w:val="bottom"/>
            <w:gridSpan w:val="12"/>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00" w:type="dxa"/>
            <w:vAlign w:val="bottom"/>
            <w:gridSpan w:val="2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15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4"/>
                <w:szCs w:val="24"/>
                <w:color w:val="auto"/>
              </w:rPr>
            </w:pPr>
          </w:p>
        </w:tc>
        <w:tc>
          <w:tcPr>
            <w:tcW w:w="6980" w:type="dxa"/>
            <w:vAlign w:val="bottom"/>
            <w:gridSpan w:val="15"/>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300" w:type="dxa"/>
            <w:vAlign w:val="bottom"/>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15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5"/>
          </w:tcPr>
          <w:p>
            <w:pPr>
              <w:spacing w:after="0"/>
              <w:rPr>
                <w:sz w:val="24"/>
                <w:szCs w:val="24"/>
                <w:color w:val="auto"/>
              </w:rPr>
            </w:pPr>
          </w:p>
        </w:tc>
        <w:tc>
          <w:tcPr>
            <w:tcW w:w="3960" w:type="dxa"/>
            <w:vAlign w:val="bottom"/>
            <w:gridSpan w:val="4"/>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300" w:type="dxa"/>
            <w:vAlign w:val="bottom"/>
            <w:gridSpan w:val="20"/>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158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c>
          <w:tcPr>
            <w:tcW w:w="20" w:type="dxa"/>
            <w:vAlign w:val="bottom"/>
          </w:tcPr>
          <w:p>
            <w:pPr>
              <w:spacing w:after="0"/>
              <w:rPr>
                <w:sz w:val="24"/>
                <w:szCs w:val="24"/>
                <w:color w:val="auto"/>
              </w:rPr>
            </w:pPr>
          </w:p>
        </w:tc>
      </w:tr>
      <w:tr>
        <w:trPr>
          <w:trHeight w:val="318"/>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6540" w:type="dxa"/>
            <w:vAlign w:val="bottom"/>
            <w:gridSpan w:val="14"/>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24"/>
                <w:szCs w:val="24"/>
                <w:color w:val="auto"/>
              </w:rPr>
            </w:pPr>
          </w:p>
        </w:tc>
        <w:tc>
          <w:tcPr>
            <w:tcW w:w="7000" w:type="dxa"/>
            <w:vAlign w:val="bottom"/>
            <w:gridSpan w:val="16"/>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00" w:type="dxa"/>
            <w:vAlign w:val="bottom"/>
            <w:tcBorders>
              <w:bottom w:val="single" w:sz="8" w:color="0000FF"/>
            </w:tcBorders>
          </w:tcPr>
          <w:p>
            <w:pPr>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Signature</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1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intangibles</w:t>
            </w:r>
          </w:p>
        </w:tc>
        <w:tc>
          <w:tcPr>
            <w:tcW w:w="1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 (Note 6)</w:t>
            </w:r>
          </w:p>
        </w:tc>
        <w:tc>
          <w:tcPr>
            <w:tcW w:w="1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(1,961.6)</w:t>
            </w:r>
          </w:p>
        </w:tc>
        <w:tc>
          <w:tcPr>
            <w:tcW w:w="0" w:type="dxa"/>
            <w:vAlign w:val="bottom"/>
          </w:tcPr>
          <w:p>
            <w:pPr>
              <w:spacing w:after="0"/>
              <w:rPr>
                <w:sz w:val="1"/>
                <w:szCs w:val="1"/>
                <w:color w:val="auto"/>
              </w:rPr>
            </w:pPr>
          </w:p>
        </w:tc>
      </w:tr>
      <w:tr>
        <w:trPr>
          <w:trHeight w:val="196"/>
        </w:trPr>
        <w:tc>
          <w:tcPr>
            <w:tcW w:w="6820" w:type="dxa"/>
            <w:vAlign w:val="bottom"/>
          </w:tcPr>
          <w:p>
            <w:pPr>
              <w:ind w:left="20"/>
              <w:spacing w:after="0" w:line="196" w:lineRule="exact"/>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auto"/>
            </w:tcBorders>
          </w:tcPr>
          <w:p>
            <w:pPr>
              <w:jc w:val="right"/>
              <w:ind w:right="1233"/>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95.3</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2,101.1</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(Note 7):</w:t>
            </w:r>
          </w:p>
        </w:tc>
        <w:tc>
          <w:tcPr>
            <w:tcW w:w="1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Basic</w:t>
            </w:r>
          </w:p>
        </w:tc>
        <w:tc>
          <w:tcPr>
            <w:tcW w:w="1440" w:type="dxa"/>
            <w:vAlign w:val="bottom"/>
            <w:tcBorders>
              <w:bottom w:val="single" w:sz="8" w:color="auto"/>
            </w:tcBorders>
          </w:tcPr>
          <w:p>
            <w:pPr>
              <w:jc w:val="right"/>
              <w:ind w:right="123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40" w:type="dxa"/>
            <w:vAlign w:val="bottom"/>
            <w:tcBorders>
              <w:bottom w:val="single" w:sz="8" w:color="auto"/>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used to compute earnings per share:</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2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vMerge w:val="continue"/>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49.9</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income, net of tax:</w:t>
            </w:r>
          </w:p>
        </w:tc>
        <w:tc>
          <w:tcPr>
            <w:tcW w:w="1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Cash flow hedges</w:t>
            </w:r>
          </w:p>
        </w:tc>
        <w:tc>
          <w:tcPr>
            <w:tcW w:w="1440" w:type="dxa"/>
            <w:vAlign w:val="bottom"/>
          </w:tcPr>
          <w:p>
            <w:pPr>
              <w:jc w:val="right"/>
              <w:ind w:right="123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40" w:type="dxa"/>
            <w:vAlign w:val="bottom"/>
            <w:tcBorders>
              <w:bottom w:val="single" w:sz="8" w:color="auto"/>
            </w:tcBorders>
          </w:tcPr>
          <w:p>
            <w:pPr>
              <w:jc w:val="right"/>
              <w:ind w:right="123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2,191.8</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 2022</w:t>
            </w:r>
          </w:p>
        </w:tc>
        <w:tc>
          <w:tcPr>
            <w:tcW w:w="260" w:type="dxa"/>
            <w:vAlign w:val="bottom"/>
          </w:tcPr>
          <w:p>
            <w:pPr>
              <w:spacing w:after="0"/>
              <w:rPr>
                <w:sz w:val="16"/>
                <w:szCs w:val="16"/>
                <w:color w:val="auto"/>
              </w:rPr>
            </w:pPr>
          </w:p>
        </w:tc>
        <w:tc>
          <w:tcPr>
            <w:tcW w:w="1600" w:type="dxa"/>
            <w:vAlign w:val="bottom"/>
          </w:tcPr>
          <w:p>
            <w:pPr>
              <w:jc w:val="right"/>
              <w:ind w:right="330"/>
              <w:spacing w:after="0"/>
              <w:rPr>
                <w:sz w:val="20"/>
                <w:szCs w:val="20"/>
                <w:color w:val="auto"/>
              </w:rPr>
            </w:pPr>
            <w:r>
              <w:rPr>
                <w:rFonts w:ascii="Arial" w:cs="Arial" w:eastAsia="Arial" w:hAnsi="Arial"/>
                <w:sz w:val="14"/>
                <w:szCs w:val="14"/>
                <w:b w:val="1"/>
                <w:bCs w:val="1"/>
                <w:color w:val="auto"/>
              </w:rPr>
              <w:t>October 31, 2021</w:t>
            </w:r>
          </w:p>
        </w:tc>
        <w:tc>
          <w:tcPr>
            <w:tcW w:w="0" w:type="dxa"/>
            <w:vAlign w:val="bottom"/>
          </w:tcPr>
          <w:p>
            <w:pPr>
              <w:spacing w:after="0"/>
              <w:rPr>
                <w:sz w:val="1"/>
                <w:szCs w:val="1"/>
                <w:color w:val="auto"/>
              </w:rPr>
            </w:pPr>
          </w:p>
        </w:tc>
      </w:tr>
      <w:tr>
        <w:trPr>
          <w:trHeight w:val="21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176"/>
        </w:trPr>
        <w:tc>
          <w:tcPr>
            <w:tcW w:w="7400" w:type="dxa"/>
            <w:vAlign w:val="bottom"/>
          </w:tcPr>
          <w:p>
            <w:pPr>
              <w:ind w:left="360"/>
              <w:spacing w:after="0" w:line="176" w:lineRule="exact"/>
              <w:rPr>
                <w:sz w:val="20"/>
                <w:szCs w:val="20"/>
                <w:color w:val="auto"/>
              </w:rPr>
            </w:pPr>
            <w:r>
              <w:rPr>
                <w:rFonts w:ascii="Arial" w:cs="Arial" w:eastAsia="Arial" w:hAnsi="Arial"/>
                <w:sz w:val="18"/>
                <w:szCs w:val="18"/>
                <w:color w:val="auto"/>
                <w:w w:val="93"/>
              </w:rPr>
              <w:t>Trade accounts receivable, net of allowance for credit losses of $11.3 at January 31, 2022 and</w:t>
            </w:r>
          </w:p>
        </w:tc>
        <w:tc>
          <w:tcPr>
            <w:tcW w:w="24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525.9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$9.2 at October 31, 2021</w:t>
            </w:r>
          </w:p>
        </w:tc>
        <w:tc>
          <w:tcPr>
            <w:tcW w:w="2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(Note 3)</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29"/>
        </w:trPr>
        <w:tc>
          <w:tcPr>
            <w:tcW w:w="7400" w:type="dxa"/>
            <w:vAlign w:val="bottom"/>
          </w:tcPr>
          <w:p>
            <w:pPr>
              <w:ind w:left="360"/>
              <w:spacing w:after="0"/>
              <w:rPr>
                <w:sz w:val="20"/>
                <w:szCs w:val="20"/>
                <w:color w:val="auto"/>
              </w:rPr>
            </w:pPr>
            <w:r>
              <w:rPr>
                <w:rFonts w:ascii="Arial" w:cs="Arial" w:eastAsia="Arial" w:hAnsi="Arial"/>
                <w:sz w:val="18"/>
                <w:szCs w:val="18"/>
                <w:color w:val="auto"/>
              </w:rPr>
              <w:t>Prepaid expense and other current assets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held-for-sale (Note 2)</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1,698.1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1,465.3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2,655.7</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1,308.1</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(Note 4)</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Other intangibles, net (Note 4)</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1,842.0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1,271.5</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2,546.6</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Short-term debt (Note 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912.0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held-for-sale (Note 2)</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1,664.4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(Note 5)</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tax payable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pension liability and other</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4,736.4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2,664.2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(Note 12)</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Preferred stock, $10 cents par value, 1.0 shares authorized, zero shares issued or outstanding</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400" w:type="dxa"/>
            <w:vAlign w:val="bottom"/>
          </w:tcPr>
          <w:p>
            <w:pPr>
              <w:ind w:left="360"/>
              <w:spacing w:after="0" w:line="176" w:lineRule="exact"/>
              <w:rPr>
                <w:sz w:val="20"/>
                <w:szCs w:val="20"/>
                <w:color w:val="auto"/>
              </w:rPr>
            </w:pPr>
            <w:r>
              <w:rPr>
                <w:rFonts w:ascii="Arial" w:cs="Arial" w:eastAsia="Arial" w:hAnsi="Arial"/>
                <w:sz w:val="18"/>
                <w:szCs w:val="18"/>
                <w:color w:val="auto"/>
                <w:w w:val="89"/>
              </w:rPr>
              <w:t>Common stock, $10 cents par value, 120.0 shares authorized, 53.8 issued and 49.2 outstanding at</w:t>
            </w:r>
          </w:p>
        </w:tc>
        <w:tc>
          <w:tcPr>
            <w:tcW w:w="24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January 31, 2022 and 53.7 issued and 49.3 outstanding at October 31, 2021</w:t>
            </w:r>
          </w:p>
        </w:tc>
        <w:tc>
          <w:tcPr>
            <w:tcW w:w="2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6,202.1</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7"/>
              </w:rPr>
              <w:t>Treasury stock at cost: 4.6 shares at January 31, 2022 and 4.4 shares at October 31, 2021</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Cooper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6,941.8</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Stockholders’ equity (Note 9)</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6,942.0</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9,606.2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1"/>
              </w:rPr>
              <w:t>Common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7"/>
          </w:tcPr>
          <w:p>
            <w:pPr>
              <w:ind w:left="8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1"/>
                <w:szCs w:val="11"/>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1"/>
                <w:szCs w:val="11"/>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85"/>
              </w:rPr>
              <w:t>Shares</w:t>
            </w:r>
          </w:p>
        </w:tc>
        <w:tc>
          <w:tcPr>
            <w:tcW w:w="7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6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4"/>
              </w:rPr>
              <w:t>Shares</w:t>
            </w:r>
          </w:p>
        </w:tc>
        <w:tc>
          <w:tcPr>
            <w:tcW w:w="7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7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4"/>
            <w:vMerge w:val="continue"/>
          </w:tcPr>
          <w:p>
            <w:pPr>
              <w:spacing w:after="0"/>
              <w:rPr>
                <w:sz w:val="16"/>
                <w:szCs w:val="16"/>
                <w:color w:val="auto"/>
              </w:rPr>
            </w:pPr>
          </w:p>
        </w:tc>
        <w:tc>
          <w:tcPr>
            <w:tcW w:w="70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6"/>
                <w:szCs w:val="16"/>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60" w:type="dxa"/>
            <w:vAlign w:val="bottom"/>
          </w:tcPr>
          <w:p>
            <w:pPr>
              <w:spacing w:after="0"/>
              <w:rPr>
                <w:sz w:val="16"/>
                <w:szCs w:val="16"/>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6"/>
                <w:szCs w:val="16"/>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9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1, 2020</w:t>
            </w:r>
          </w:p>
        </w:tc>
        <w:tc>
          <w:tcPr>
            <w:tcW w:w="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$ 1,646.8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$ 3,261.8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(617.3)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2,101.1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2,101.1</w:t>
            </w:r>
          </w:p>
        </w:tc>
        <w:tc>
          <w:tcPr>
            <w:tcW w:w="0" w:type="dxa"/>
            <w:vAlign w:val="bottom"/>
          </w:tcPr>
          <w:p>
            <w:pPr>
              <w:spacing w:after="0"/>
              <w:rPr>
                <w:sz w:val="1"/>
                <w:szCs w:val="1"/>
                <w:color w:val="auto"/>
              </w:rPr>
            </w:pPr>
          </w:p>
        </w:tc>
      </w:tr>
      <w:tr>
        <w:trPr>
          <w:trHeight w:val="176"/>
        </w:trPr>
        <w:tc>
          <w:tcPr>
            <w:tcW w:w="2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Other comprehensive income, net of</w:t>
            </w:r>
          </w:p>
        </w:tc>
        <w:tc>
          <w:tcPr>
            <w:tcW w:w="40" w:type="dxa"/>
            <w:vAlign w:val="bottom"/>
            <w:shd w:val="clear" w:color="auto" w:fill="CCEEFF"/>
          </w:tcPr>
          <w:p>
            <w:pPr>
              <w:spacing w:after="0"/>
              <w:rPr>
                <w:sz w:val="15"/>
                <w:szCs w:val="15"/>
                <w:color w:val="auto"/>
              </w:rPr>
            </w:pPr>
          </w:p>
        </w:tc>
        <w:tc>
          <w:tcPr>
            <w:tcW w:w="5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40" w:type="dxa"/>
            <w:vAlign w:val="bottom"/>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Issuance of common stock for stock</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plans, net</w:t>
            </w:r>
          </w:p>
        </w:tc>
        <w:tc>
          <w:tcPr>
            <w:tcW w:w="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 for</w:t>
            </w:r>
          </w:p>
        </w:tc>
        <w:tc>
          <w:tcPr>
            <w:tcW w:w="40" w:type="dxa"/>
            <w:vAlign w:val="bottom"/>
            <w:shd w:val="clear" w:color="auto" w:fill="CCEEFF"/>
          </w:tcPr>
          <w:p>
            <w:pPr>
              <w:spacing w:after="0"/>
              <w:rPr>
                <w:sz w:val="15"/>
                <w:szCs w:val="15"/>
                <w:color w:val="auto"/>
              </w:rPr>
            </w:pPr>
          </w:p>
        </w:tc>
        <w:tc>
          <w:tcPr>
            <w:tcW w:w="5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40" w:type="dxa"/>
            <w:vAlign w:val="bottom"/>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Dividends on common stock ($0.03</w:t>
            </w:r>
          </w:p>
        </w:tc>
        <w:tc>
          <w:tcPr>
            <w:tcW w:w="40" w:type="dxa"/>
            <w:vAlign w:val="bottom"/>
          </w:tcPr>
          <w:p>
            <w:pPr>
              <w:spacing w:after="0"/>
              <w:rPr>
                <w:sz w:val="15"/>
                <w:szCs w:val="15"/>
                <w:color w:val="auto"/>
              </w:rPr>
            </w:pPr>
          </w:p>
        </w:tc>
        <w:tc>
          <w:tcPr>
            <w:tcW w:w="5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per share)</w:t>
            </w:r>
          </w:p>
        </w:tc>
        <w:tc>
          <w:tcPr>
            <w:tcW w:w="4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Share-based compensation expense</w:t>
            </w:r>
          </w:p>
        </w:tc>
        <w:tc>
          <w:tcPr>
            <w:tcW w:w="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Treasury stock repurchase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 2016-13 adoption</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Balance at January 31, 2021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1,647.2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8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5,360.0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8"/>
              </w:rPr>
              <w:t>$ (641.5)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5,989.9</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8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November 1, 2021</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$ 1,715.2</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(341.3)</w:t>
            </w:r>
          </w:p>
        </w:tc>
        <w:tc>
          <w:tcPr>
            <w:tcW w:w="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$ 6,202.1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 (639.6)</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6,942.0</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175"/>
        </w:trPr>
        <w:tc>
          <w:tcPr>
            <w:tcW w:w="2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Other comprehensive income, net of</w:t>
            </w:r>
          </w:p>
        </w:tc>
        <w:tc>
          <w:tcPr>
            <w:tcW w:w="40" w:type="dxa"/>
            <w:vAlign w:val="bottom"/>
            <w:shd w:val="clear" w:color="auto" w:fill="CCEEFF"/>
          </w:tcPr>
          <w:p>
            <w:pPr>
              <w:spacing w:after="0"/>
              <w:rPr>
                <w:sz w:val="15"/>
                <w:szCs w:val="15"/>
                <w:color w:val="auto"/>
              </w:rPr>
            </w:pPr>
          </w:p>
        </w:tc>
        <w:tc>
          <w:tcPr>
            <w:tcW w:w="5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7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40" w:type="dxa"/>
            <w:vAlign w:val="bottom"/>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Issuance of common stock for stock</w:t>
            </w: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7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plans, net</w:t>
            </w:r>
          </w:p>
        </w:tc>
        <w:tc>
          <w:tcPr>
            <w:tcW w:w="5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 for</w:t>
            </w:r>
          </w:p>
        </w:tc>
        <w:tc>
          <w:tcPr>
            <w:tcW w:w="40" w:type="dxa"/>
            <w:vAlign w:val="bottom"/>
            <w:shd w:val="clear" w:color="auto" w:fill="CCEEFF"/>
          </w:tcPr>
          <w:p>
            <w:pPr>
              <w:spacing w:after="0"/>
              <w:rPr>
                <w:sz w:val="15"/>
                <w:szCs w:val="15"/>
                <w:color w:val="auto"/>
              </w:rPr>
            </w:pPr>
          </w:p>
        </w:tc>
        <w:tc>
          <w:tcPr>
            <w:tcW w:w="5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40" w:type="dxa"/>
            <w:vAlign w:val="bottom"/>
            <w:shd w:val="clear" w:color="auto" w:fill="CCEEFF"/>
          </w:tcPr>
          <w:p>
            <w:pPr>
              <w:spacing w:after="0"/>
              <w:rPr>
                <w:sz w:val="19"/>
                <w:szCs w:val="19"/>
                <w:color w:val="auto"/>
              </w:rPr>
            </w:pPr>
          </w:p>
        </w:tc>
        <w:tc>
          <w:tcPr>
            <w:tcW w:w="5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0"/>
              </w:rPr>
              <w:t>Dividends on common stock ($0.03 per</w:t>
            </w:r>
          </w:p>
        </w:tc>
        <w:tc>
          <w:tcPr>
            <w:tcW w:w="40" w:type="dxa"/>
            <w:vAlign w:val="bottom"/>
          </w:tcPr>
          <w:p>
            <w:pPr>
              <w:spacing w:after="0"/>
              <w:rPr>
                <w:sz w:val="15"/>
                <w:szCs w:val="15"/>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share)</w:t>
            </w:r>
          </w:p>
        </w:tc>
        <w:tc>
          <w:tcPr>
            <w:tcW w:w="4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Share-based compensation expense</w:t>
            </w:r>
          </w:p>
        </w:tc>
        <w:tc>
          <w:tcPr>
            <w:tcW w:w="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Treasury stock repurchase</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8"/>
        </w:trPr>
        <w:tc>
          <w:tcPr>
            <w:tcW w:w="2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31, 2022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1,719.2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6,295.9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(717.4)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2,101.1</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Decrease (Increase) in operating capital</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(1,981.3)</w:t>
            </w:r>
          </w:p>
        </w:tc>
      </w:tr>
      <w:tr>
        <w:trPr>
          <w:trHeight w:val="22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non-cash items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Acquisitions of businesses and assets, net of cash acquired, and 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Repayments of long-term debt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(223.2)</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(repayments) from short-term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Net payments related to share-based compensation awards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Issuance of common stock for employee stock purchase plan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cash equivalents, restricted cash and cash held for sale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restricted cash and cash held for sale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cash equivalents, restricted cash and cash held for sale at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Reconciliation of cash flow information:</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held for sale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restricted cash and cash held for sale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accompanying Consolidated Condensed Financial Statements of the Cooper Companies, Inc. and its subsidiaries (the Company)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184"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color w:val="auto"/>
        </w:rPr>
        <w:t>The accompanying Consolidated Condensed Financial Statements and related notes are unaudited and should be read in conjunction with the audited Consolidated Financial Statements of the Cooper Companies, Inc. and its subsidiaries (the Company) and related notes as contained in the Company’s Annual Report on Form 10-K for the fiscal year ended October 31, 2021. The Consolidated Condensed Financial Statements include all adjustments (consisting only of normal recurring adjustments) and accruals necessary in the judgment of management for a fair presentation of the results for the interim periods presented. Readers should not assume that the results reported here either indicate or guarantee future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described in our Annual Report on Form 10-K for the fiscal year ended October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&amp;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continue to have, an adverse effect on our sales, operating results and cash flows.</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particularly as it relates to estimates reliant on forecasts and other assumptions reasonably available to the Company and the uncertain future impacts of the COVID-19 pandemic and related economic disruptions. The extent to which the COVID-19 pandemic and related economic disruptions impact our business and financial results will depend on future developments including, but not limited to, the continued spread, duration and severity of the COVID-19 pandemic; the occurrence, spread, duration and severity of any subsequent wave or waves of outbreaks, including the emergence and spread of variants of the COVID-19 virus; the actions taken by the U.S. and foreign governments to contain the COVID-19 pandemic, address its impact or respond to the reduction in global and local economic activity; the occurrence, duration and severity of a global, regional or national recession, depression or other sustained adverse market event; the impact of the developments described above on our customers and suppliers; and how quickly and to what extent normal economic and operating conditions can resume. The accounting matters assessed included, but were not limited to:</w:t>
      </w:r>
    </w:p>
    <w:p>
      <w:pPr>
        <w:spacing w:after="0" w:line="11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allowance for doubtful accounts and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carrying value of inventory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carrying value of goodwill and other long-lived assets</w:t>
      </w:r>
    </w:p>
    <w:p>
      <w:pPr>
        <w:spacing w:after="0" w:line="17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There was not a material impact to the above estimates in the Company’s Consolidated Condensed Financial Statements for the three months ended January 31, 2022.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 The Company’s future assessment of the magnitude and duration of COVID-19, as well as other factors, could result in material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1240"/>
        <w:spacing w:after="0" w:line="465" w:lineRule="auto"/>
        <w:rPr>
          <w:sz w:val="20"/>
          <w:szCs w:val="20"/>
          <w:color w:val="auto"/>
        </w:rPr>
      </w:pPr>
      <w:r>
        <w:rPr>
          <w:rFonts w:ascii="Arial" w:cs="Arial" w:eastAsia="Arial" w:hAnsi="Arial"/>
          <w:sz w:val="18"/>
          <w:szCs w:val="18"/>
          <w:color w:val="auto"/>
        </w:rPr>
        <w:t xml:space="preserve">changes to the estimates and material impacts to the Company’s Consolidated Condensed Financial Statements in future reporting periods. </w:t>
      </w:r>
      <w:r>
        <w:rPr>
          <w:rFonts w:ascii="Arial" w:cs="Arial" w:eastAsia="Arial" w:hAnsi="Arial"/>
          <w:sz w:val="18"/>
          <w:szCs w:val="18"/>
          <w:b w:val="1"/>
          <w:bCs w:val="1"/>
          <w:color w:val="auto"/>
        </w:rPr>
        <w:t>Accounting Pronouncements Recently Adopted</w:t>
      </w:r>
    </w:p>
    <w:p>
      <w:pPr>
        <w:spacing w:after="0" w:line="3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In December 2019, the Financial Accounting Standards Board (FASB) issued ASU 2019-12, </w:t>
      </w:r>
      <w:r>
        <w:rPr>
          <w:rFonts w:ascii="Arial" w:cs="Arial" w:eastAsia="Arial" w:hAnsi="Arial"/>
          <w:sz w:val="17"/>
          <w:szCs w:val="17"/>
          <w:i w:val="1"/>
          <w:iCs w:val="1"/>
          <w:color w:val="auto"/>
        </w:rPr>
        <w:t>Income Taxes (Topic 740): 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color w:val="auto"/>
        </w:rPr>
        <w:t>. This guidance removes certain exceptions to the general principles in Topic 740 and enhances and simplifies various aspects of the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accounting guidance, including requirements such as tax basis step-up in goodwill obtained in a transaction that is not a business combination, ownership changes in investments, and interim-period accounting for enacted changes in tax law. This standard is effective for fiscal years and interim periods within those fiscal years beginning after December 15, 2020. Early adoption is permitted. The Company adopted this guidance on November 1, 2021, and it did not have an impact on the Consolidated Condensed Financial Statements.</w:t>
      </w:r>
    </w:p>
    <w:p>
      <w:pPr>
        <w:spacing w:after="0" w:line="20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w:t>
      </w:r>
      <w:r>
        <w:rPr>
          <w:rFonts w:ascii="Arial" w:cs="Arial" w:eastAsia="Arial" w:hAnsi="Arial"/>
          <w:sz w:val="17"/>
          <w:szCs w:val="17"/>
          <w:color w:val="auto"/>
        </w:rPr>
        <w:t>. This update amends the guidance on convertible instruments and the derivatives scope exception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in an entity's own equity and improves and amends the related EPS guidance for both Subtopics. This standard is effective for fiscal years and interim periods within those fiscal years beginning after December 15, 2021. Early adoption is permitted but no earlier than fiscal years beginning after December 15, 2020, including interim periods within those fiscal years. The Company early adopted this guidance on November 1, 2021, and it did not have an impact on the Consolidated Condensed Financial Statements.</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This update requires that an acquirer recognize and measure contract assets and contract liabilities acquired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combination in accordance with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standard is effective for fiscal years and interim periods within those fiscal years beginning after December 15, 2022 and should be applied prospectively to business combinations occurring on or after the effective date of the standard. Early adoption is permitted, including adoption in an interim period. The Company early adopted this guidance on November 1, 2021 and has applied the guidance to the business combinations entered into during fiscal 2022. Refer to Note 2. Acquisitions and Assets Held for Sale for further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848</w:t>
      </w:r>
      <w:r>
        <w:rPr>
          <w:rFonts w:ascii="Arial" w:cs="Arial" w:eastAsia="Arial" w:hAnsi="Arial"/>
          <w:sz w:val="18"/>
          <w:szCs w:val="18"/>
          <w:color w:val="auto"/>
        </w:rPr>
        <w:t xml:space="preserve">): </w:t>
      </w:r>
      <w:r>
        <w:rPr>
          <w:rFonts w:ascii="Arial" w:cs="Arial" w:eastAsia="Arial" w:hAnsi="Arial"/>
          <w:sz w:val="18"/>
          <w:szCs w:val="18"/>
          <w:i w:val="1"/>
          <w:iCs w:val="1"/>
          <w:color w:val="auto"/>
        </w:rPr>
        <w:t>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and subsequent amendment to the initial guidance: ASU 2021-01,</w:t>
      </w:r>
      <w:r>
        <w:rPr>
          <w:rFonts w:ascii="Arial" w:cs="Arial" w:eastAsia="Arial" w:hAnsi="Arial"/>
          <w:sz w:val="18"/>
          <w:szCs w:val="18"/>
          <w:i w:val="1"/>
          <w:iCs w:val="1"/>
          <w:color w:val="auto"/>
        </w:rPr>
        <w:t xml:space="preserve"> Reference Rate Reform (Topic 848): Scope </w:t>
      </w:r>
      <w:r>
        <w:rPr>
          <w:rFonts w:ascii="Arial" w:cs="Arial" w:eastAsia="Arial" w:hAnsi="Arial"/>
          <w:sz w:val="18"/>
          <w:szCs w:val="18"/>
          <w:color w:val="auto"/>
        </w:rPr>
        <w:t>(collectively, “Topic 848”). Topic</w:t>
      </w:r>
      <w:r>
        <w:rPr>
          <w:rFonts w:ascii="Arial" w:cs="Arial" w:eastAsia="Arial" w:hAnsi="Arial"/>
          <w:sz w:val="18"/>
          <w:szCs w:val="18"/>
          <w:i w:val="1"/>
          <w:iCs w:val="1"/>
          <w:color w:val="auto"/>
        </w:rPr>
        <w:t xml:space="preserve"> </w:t>
      </w:r>
      <w:r>
        <w:rPr>
          <w:rFonts w:ascii="Arial" w:cs="Arial" w:eastAsia="Arial" w:hAnsi="Arial"/>
          <w:sz w:val="18"/>
          <w:szCs w:val="18"/>
          <w:color w:val="auto"/>
        </w:rPr>
        <w:t>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guidance generally can be applied from March 12, 2020 through December 31, 2022. The Company is currently assessing the impacts of the practical expedients provided in Topic 848 and which, if any, the Company will adopt.</w:t>
      </w:r>
    </w:p>
    <w:p>
      <w:pPr>
        <w:spacing w:after="0" w:line="12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In November 2021, the FASB issued ASU 2021-10, </w:t>
      </w:r>
      <w:r>
        <w:rPr>
          <w:rFonts w:ascii="Arial" w:cs="Arial" w:eastAsia="Arial" w:hAnsi="Arial"/>
          <w:sz w:val="16"/>
          <w:szCs w:val="16"/>
          <w:i w:val="1"/>
          <w:iCs w:val="1"/>
          <w:color w:val="auto"/>
        </w:rPr>
        <w:t>Government Assistance (Topic 832): Disclosures by Business Entities about Government Assistance</w:t>
      </w:r>
      <w:r>
        <w:rPr>
          <w:rFonts w:ascii="Arial" w:cs="Arial" w:eastAsia="Arial" w:hAnsi="Arial"/>
          <w:sz w:val="16"/>
          <w:szCs w:val="16"/>
          <w:color w:val="auto"/>
        </w:rPr>
        <w:t>. This update requires annual disclosures about transactions with a government that are accounted for by applying a grant or contribution accounting model by analogy. This standard is effective for fiscal years beginning after December 15, 2021 and should be applied either prospectively or retrospectively. Early adoption is permitted. The Company is currently evaluating the impact of ASU 2021-10 on the Consolidated Condensed Financial Statements.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other recently issued accounting pronouncements had or are expected to have a material impact on the Company's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Acquisitions and Assets Held for Sale</w:t>
      </w:r>
    </w:p>
    <w:p>
      <w:pPr>
        <w:spacing w:after="0" w:line="1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is a summary of the allocation of the total purchase consideration for business and asset acquisitions that the Company completed during the three months ended January 31, 2022 and fiscal 2021: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 2022</w:t>
            </w:r>
          </w:p>
        </w:tc>
        <w:tc>
          <w:tcPr>
            <w:tcW w:w="220" w:type="dxa"/>
            <w:vAlign w:val="bottom"/>
          </w:tcPr>
          <w:p>
            <w:pPr>
              <w:spacing w:after="0"/>
              <w:rPr>
                <w:sz w:val="14"/>
                <w:szCs w:val="14"/>
                <w:color w:val="auto"/>
              </w:rPr>
            </w:pPr>
          </w:p>
        </w:tc>
        <w:tc>
          <w:tcPr>
            <w:tcW w:w="1460" w:type="dxa"/>
            <w:vAlign w:val="bottom"/>
          </w:tcPr>
          <w:p>
            <w:pPr>
              <w:jc w:val="right"/>
              <w:ind w:right="232"/>
              <w:spacing w:after="0"/>
              <w:rPr>
                <w:sz w:val="20"/>
                <w:szCs w:val="20"/>
                <w:color w:val="auto"/>
              </w:rPr>
            </w:pPr>
            <w:r>
              <w:rPr>
                <w:rFonts w:ascii="Arial" w:cs="Arial" w:eastAsia="Arial" w:hAnsi="Arial"/>
                <w:sz w:val="14"/>
                <w:szCs w:val="14"/>
                <w:b w:val="1"/>
                <w:bCs w:val="1"/>
                <w:color w:val="auto"/>
                <w:w w:val="99"/>
              </w:rPr>
              <w:t>October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In-Process Research &amp; Development (IPR&amp;D)</w:t>
            </w: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identifiable intangible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tangible liabilities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contingent consideration</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Total closing purchase price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All acquisitions were funded by cash generated from operations or facility borrowings.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business acquisitions, the Company recorded tangible and intangible assets acquired and liabilities assumed at their fair values as of the applicable date of acquisition. For asset acquisitions, the Company recorded tangible and intangible assets acquired and liabilities assumed at their estimated and relative fair values as of the applicable date of acquisition.</w:t>
      </w:r>
    </w:p>
    <w:p>
      <w:pPr>
        <w:spacing w:after="0" w:line="2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Company believes these acquisitions strengthen CooperSurgical's and CooperVision's businesses through the addition of new distributors or complementary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Generate Life Sciences</w:t>
      </w:r>
      <w:r>
        <w:rPr>
          <w:rFonts w:ascii="Arial" w:cs="Arial" w:eastAsia="Arial" w:hAnsi="Arial"/>
          <w:sz w:val="23"/>
          <w:szCs w:val="23"/>
          <w:color w:val="auto"/>
          <w:vertAlign w:val="superscript"/>
        </w:rPr>
        <w:t>®</w:t>
      </w:r>
    </w:p>
    <w:p>
      <w:pPr>
        <w:spacing w:after="0" w:line="18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On December 17, 2021, CooperSurgical completed the acquisition of 100% of the equity interests in Generate Life Sciences (Generate), a privately held leading provider of donor egg and sperm for fertility treatments, fertility cryopreservation services and newborn stem cell storage (cord blood &amp; cord tissue), and paid an aggregate consideration of approximately $1.666 billion in cash, reflecting working capital and other adjustments. The cash consideration was funded through a combination of $1.5 billion in proceeds from the issuance of a senior unsecured term loan and available cash on hand.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The Company has accounted for the acquisition of Generate as a business combination,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following table summarizes the provisional fair values of assets acquired and liabilities assumed as of the acquisition date:</w:t>
      </w:r>
    </w:p>
    <w:p>
      <w:pPr>
        <w:sectPr>
          <w:pgSz w:w="11900" w:h="16838" w:orient="portrait"/>
          <w:cols w:equalWidth="0" w:num="1">
            <w:col w:w="11240"/>
          </w:cols>
          <w:pgMar w:left="320" w:top="125" w:right="339" w:bottom="1440" w:gutter="0" w:footer="0" w:header="0"/>
        </w:sect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Trade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w:t>
      </w:r>
    </w:p>
    <w:p>
      <w:pPr>
        <w:spacing w:after="0" w:line="36" w:lineRule="exact"/>
        <w:rPr>
          <w:sz w:val="20"/>
          <w:szCs w:val="20"/>
          <w:color w:val="auto"/>
        </w:rPr>
      </w:pPr>
    </w:p>
    <w:p>
      <w:pPr>
        <w:jc w:val="right"/>
        <w:ind w:right="5631"/>
        <w:spacing w:after="0"/>
        <w:rPr>
          <w:sz w:val="20"/>
          <w:szCs w:val="20"/>
          <w:color w:val="auto"/>
        </w:rPr>
      </w:pPr>
      <w:r>
        <w:rPr>
          <w:rFonts w:ascii="Arial" w:cs="Arial" w:eastAsia="Arial" w:hAnsi="Arial"/>
          <w:sz w:val="17"/>
          <w:szCs w:val="17"/>
          <w:color w:val="auto"/>
        </w:rPr>
        <w:t>Prepaid expense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assets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right-of-use assets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relationships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Employee compensation and benefits</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revenue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liabilities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49" w:hanging="1249"/>
        <w:spacing w:after="0"/>
        <w:tabs>
          <w:tab w:leader="none" w:pos="1249" w:val="left"/>
        </w:tabs>
        <w:numPr>
          <w:ilvl w:val="0"/>
          <w:numId w:val="2"/>
        </w:numPr>
        <w:rPr>
          <w:rFonts w:ascii="Arial" w:cs="Arial" w:eastAsia="Arial" w:hAnsi="Arial"/>
          <w:sz w:val="15"/>
          <w:szCs w:val="15"/>
          <w:color w:val="auto"/>
        </w:rPr>
      </w:pPr>
      <w:r>
        <w:rPr>
          <w:rFonts w:ascii="Arial" w:cs="Arial" w:eastAsia="Arial" w:hAnsi="Arial"/>
          <w:sz w:val="15"/>
          <w:szCs w:val="15"/>
          <w:color w:val="auto"/>
        </w:rPr>
        <w:t>58.6</w:t>
      </w:r>
    </w:p>
    <w:p>
      <w:pPr>
        <w:spacing w:after="0" w:line="84" w:lineRule="exact"/>
        <w:rPr>
          <w:rFonts w:ascii="Arial" w:cs="Arial" w:eastAsia="Arial" w:hAnsi="Arial"/>
          <w:sz w:val="15"/>
          <w:szCs w:val="15"/>
          <w:color w:val="auto"/>
        </w:rPr>
      </w:pPr>
    </w:p>
    <w:p>
      <w:pPr>
        <w:ind w:left="1249"/>
        <w:spacing w:after="0"/>
        <w:rPr>
          <w:rFonts w:ascii="Arial" w:cs="Arial" w:eastAsia="Arial" w:hAnsi="Arial"/>
          <w:sz w:val="15"/>
          <w:szCs w:val="15"/>
          <w:color w:val="auto"/>
        </w:rPr>
      </w:pPr>
      <w:r>
        <w:rPr>
          <w:rFonts w:ascii="Arial" w:cs="Arial" w:eastAsia="Arial" w:hAnsi="Arial"/>
          <w:sz w:val="15"/>
          <w:szCs w:val="15"/>
          <w:color w:val="auto"/>
        </w:rPr>
        <w:t>23.3</w:t>
      </w:r>
    </w:p>
    <w:p>
      <w:pPr>
        <w:spacing w:after="0" w:line="70" w:lineRule="exact"/>
        <w:rPr>
          <w:rFonts w:ascii="Arial" w:cs="Arial" w:eastAsia="Arial" w:hAnsi="Arial"/>
          <w:sz w:val="15"/>
          <w:szCs w:val="15"/>
          <w:color w:val="auto"/>
        </w:rPr>
      </w:pPr>
    </w:p>
    <w:p>
      <w:pPr>
        <w:ind w:left="1329"/>
        <w:spacing w:after="0"/>
        <w:rPr>
          <w:rFonts w:ascii="Arial" w:cs="Arial" w:eastAsia="Arial" w:hAnsi="Arial"/>
          <w:sz w:val="15"/>
          <w:szCs w:val="15"/>
          <w:color w:val="auto"/>
        </w:rPr>
      </w:pPr>
      <w:r>
        <w:rPr>
          <w:rFonts w:ascii="Arial" w:cs="Arial" w:eastAsia="Arial" w:hAnsi="Arial"/>
          <w:sz w:val="15"/>
          <w:szCs w:val="15"/>
          <w:color w:val="auto"/>
        </w:rPr>
        <w:t>4.0</w:t>
      </w:r>
    </w:p>
    <w:p>
      <w:pPr>
        <w:spacing w:after="0" w:line="70" w:lineRule="exact"/>
        <w:rPr>
          <w:rFonts w:ascii="Arial" w:cs="Arial" w:eastAsia="Arial" w:hAnsi="Arial"/>
          <w:sz w:val="15"/>
          <w:szCs w:val="15"/>
          <w:color w:val="auto"/>
        </w:rPr>
      </w:pPr>
    </w:p>
    <w:p>
      <w:pPr>
        <w:ind w:left="1249"/>
        <w:spacing w:after="0"/>
        <w:rPr>
          <w:rFonts w:ascii="Arial" w:cs="Arial" w:eastAsia="Arial" w:hAnsi="Arial"/>
          <w:sz w:val="15"/>
          <w:szCs w:val="15"/>
          <w:color w:val="auto"/>
        </w:rPr>
      </w:pPr>
      <w:r>
        <w:rPr>
          <w:rFonts w:ascii="Arial" w:cs="Arial" w:eastAsia="Arial" w:hAnsi="Arial"/>
          <w:sz w:val="15"/>
          <w:szCs w:val="15"/>
          <w:color w:val="auto"/>
        </w:rPr>
        <w:t>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045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5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115.8</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25.1</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21.4</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1,292.6</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472.0</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142.0</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15.8</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 w:lineRule="exact"/>
        <w:rPr>
          <w:sz w:val="20"/>
          <w:szCs w:val="20"/>
          <w:color w:val="auto"/>
        </w:rPr>
      </w:pPr>
    </w:p>
    <w:p>
      <w:pPr>
        <w:ind w:left="1009" w:hanging="1009"/>
        <w:spacing w:after="0"/>
        <w:tabs>
          <w:tab w:leader="none" w:pos="1009" w:val="left"/>
        </w:tabs>
        <w:numPr>
          <w:ilvl w:val="0"/>
          <w:numId w:val="3"/>
        </w:numPr>
        <w:rPr>
          <w:rFonts w:ascii="Arial" w:cs="Arial" w:eastAsia="Arial" w:hAnsi="Arial"/>
          <w:sz w:val="16"/>
          <w:szCs w:val="16"/>
          <w:color w:val="auto"/>
        </w:rPr>
      </w:pPr>
      <w:r>
        <w:rPr>
          <w:rFonts w:ascii="Arial" w:cs="Arial" w:eastAsia="Arial" w:hAnsi="Arial"/>
          <w:sz w:val="16"/>
          <w:szCs w:val="16"/>
          <w:color w:val="auto"/>
        </w:rPr>
        <w:t>2,085.5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10458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49" w:hanging="1249"/>
        <w:spacing w:after="0"/>
        <w:tabs>
          <w:tab w:leader="none" w:pos="1249" w:val="left"/>
        </w:tabs>
        <w:numPr>
          <w:ilvl w:val="0"/>
          <w:numId w:val="4"/>
        </w:numPr>
        <w:rPr>
          <w:rFonts w:ascii="Arial" w:cs="Arial" w:eastAsia="Arial" w:hAnsi="Arial"/>
          <w:sz w:val="15"/>
          <w:szCs w:val="15"/>
          <w:color w:val="auto"/>
        </w:rPr>
      </w:pPr>
      <w:r>
        <w:rPr>
          <w:rFonts w:ascii="Arial" w:cs="Arial" w:eastAsia="Arial" w:hAnsi="Arial"/>
          <w:sz w:val="15"/>
          <w:szCs w:val="15"/>
          <w:color w:val="auto"/>
        </w:rPr>
        <w:t>12.6</w:t>
      </w:r>
    </w:p>
    <w:p>
      <w:pPr>
        <w:spacing w:after="0" w:line="70" w:lineRule="exact"/>
        <w:rPr>
          <w:rFonts w:ascii="Arial" w:cs="Arial" w:eastAsia="Arial" w:hAnsi="Arial"/>
          <w:sz w:val="15"/>
          <w:szCs w:val="15"/>
          <w:color w:val="auto"/>
        </w:rPr>
      </w:pPr>
    </w:p>
    <w:p>
      <w:pPr>
        <w:ind w:left="1249"/>
        <w:spacing w:after="0"/>
        <w:rPr>
          <w:rFonts w:ascii="Arial" w:cs="Arial" w:eastAsia="Arial" w:hAnsi="Arial"/>
          <w:sz w:val="15"/>
          <w:szCs w:val="15"/>
          <w:color w:val="auto"/>
        </w:rPr>
      </w:pPr>
      <w:r>
        <w:rPr>
          <w:rFonts w:ascii="Arial" w:cs="Arial" w:eastAsia="Arial" w:hAnsi="Arial"/>
          <w:sz w:val="15"/>
          <w:szCs w:val="15"/>
          <w:color w:val="auto"/>
        </w:rPr>
        <w:t>12.3</w:t>
      </w:r>
    </w:p>
    <w:p>
      <w:pPr>
        <w:spacing w:after="0" w:line="70" w:lineRule="exact"/>
        <w:rPr>
          <w:rFonts w:ascii="Arial" w:cs="Arial" w:eastAsia="Arial" w:hAnsi="Arial"/>
          <w:sz w:val="15"/>
          <w:szCs w:val="15"/>
          <w:color w:val="auto"/>
        </w:rPr>
      </w:pPr>
    </w:p>
    <w:p>
      <w:pPr>
        <w:ind w:left="1329"/>
        <w:spacing w:after="0"/>
        <w:rPr>
          <w:rFonts w:ascii="Arial" w:cs="Arial" w:eastAsia="Arial" w:hAnsi="Arial"/>
          <w:sz w:val="15"/>
          <w:szCs w:val="15"/>
          <w:color w:val="auto"/>
        </w:rPr>
      </w:pPr>
      <w:r>
        <w:rPr>
          <w:rFonts w:ascii="Arial" w:cs="Arial" w:eastAsia="Arial" w:hAnsi="Arial"/>
          <w:sz w:val="15"/>
          <w:szCs w:val="15"/>
          <w:color w:val="auto"/>
        </w:rPr>
        <w:t>2.5</w:t>
      </w:r>
    </w:p>
    <w:p>
      <w:pPr>
        <w:spacing w:after="0" w:line="70" w:lineRule="exact"/>
        <w:rPr>
          <w:rFonts w:ascii="Arial" w:cs="Arial" w:eastAsia="Arial" w:hAnsi="Arial"/>
          <w:sz w:val="15"/>
          <w:szCs w:val="15"/>
          <w:color w:val="auto"/>
        </w:rPr>
      </w:pPr>
    </w:p>
    <w:p>
      <w:pPr>
        <w:ind w:left="1249"/>
        <w:spacing w:after="0"/>
        <w:rPr>
          <w:rFonts w:ascii="Arial" w:cs="Arial" w:eastAsia="Arial" w:hAnsi="Arial"/>
          <w:sz w:val="15"/>
          <w:szCs w:val="15"/>
          <w:color w:val="auto"/>
        </w:rPr>
      </w:pPr>
      <w:r>
        <w:rPr>
          <w:rFonts w:ascii="Arial" w:cs="Arial" w:eastAsia="Arial" w:hAnsi="Arial"/>
          <w:sz w:val="15"/>
          <w:szCs w:val="15"/>
          <w:color w:val="auto"/>
        </w:rPr>
        <w:t>68.4</w:t>
      </w:r>
    </w:p>
    <w:p>
      <w:pPr>
        <w:spacing w:after="0" w:line="70" w:lineRule="exact"/>
        <w:rPr>
          <w:rFonts w:ascii="Arial" w:cs="Arial" w:eastAsia="Arial" w:hAnsi="Arial"/>
          <w:sz w:val="15"/>
          <w:szCs w:val="15"/>
          <w:color w:val="auto"/>
        </w:rPr>
      </w:pPr>
    </w:p>
    <w:p>
      <w:pPr>
        <w:ind w:left="1329"/>
        <w:spacing w:after="0"/>
        <w:rPr>
          <w:rFonts w:ascii="Arial" w:cs="Arial" w:eastAsia="Arial" w:hAnsi="Arial"/>
          <w:sz w:val="15"/>
          <w:szCs w:val="15"/>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0458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5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104.6</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134.4</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18.8</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160.9</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w:t>
      </w:r>
    </w:p>
    <w:p>
      <w:pPr>
        <w:spacing w:after="0" w:line="36" w:lineRule="exact"/>
        <w:rPr>
          <w:sz w:val="20"/>
          <w:szCs w:val="20"/>
          <w:color w:val="auto"/>
        </w:rPr>
      </w:pPr>
    </w:p>
    <w:p>
      <w:pPr>
        <w:ind w:left="1149" w:hanging="1149"/>
        <w:spacing w:after="0"/>
        <w:tabs>
          <w:tab w:leader="none" w:pos="1149" w:val="left"/>
        </w:tabs>
        <w:numPr>
          <w:ilvl w:val="0"/>
          <w:numId w:val="5"/>
        </w:numPr>
        <w:rPr>
          <w:rFonts w:ascii="Arial" w:cs="Arial" w:eastAsia="Arial" w:hAnsi="Arial"/>
          <w:sz w:val="15"/>
          <w:szCs w:val="15"/>
          <w:color w:val="auto"/>
        </w:rPr>
      </w:pPr>
      <w:r>
        <w:rPr>
          <w:rFonts w:ascii="Arial" w:cs="Arial" w:eastAsia="Arial" w:hAnsi="Arial"/>
          <w:sz w:val="15"/>
          <w:szCs w:val="15"/>
          <w:color w:val="auto"/>
        </w:rPr>
        <w:t>419.8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62230</wp:posOffset>
            </wp:positionV>
            <wp:extent cx="10458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891" w:space="720"/>
            <w:col w:w="1629"/>
          </w:cols>
          <w:pgMar w:left="320" w:top="125" w:right="339" w:bottom="1440" w:gutter="0" w:footer="0" w:header="0"/>
          <w:type w:val="continuous"/>
        </w:sectPr>
      </w:pPr>
    </w:p>
    <w:p>
      <w:pPr>
        <w:spacing w:after="0" w:line="116" w:lineRule="exact"/>
        <w:rPr>
          <w:sz w:val="20"/>
          <w:szCs w:val="20"/>
          <w:color w:val="auto"/>
        </w:rPr>
      </w:pPr>
    </w:p>
    <w:p>
      <w:pPr>
        <w:ind w:left="20"/>
        <w:spacing w:after="0"/>
        <w:tabs>
          <w:tab w:leader="none" w:pos="9600" w:val="left"/>
          <w:tab w:leader="none" w:pos="10600" w:val="left"/>
        </w:tabs>
        <w:rPr>
          <w:sz w:val="20"/>
          <w:szCs w:val="20"/>
          <w:color w:val="auto"/>
        </w:rPr>
      </w:pPr>
      <w:r>
        <w:rPr>
          <w:rFonts w:ascii="Arial" w:cs="Arial" w:eastAsia="Arial" w:hAnsi="Arial"/>
          <w:sz w:val="18"/>
          <w:szCs w:val="18"/>
          <w:b w:val="1"/>
          <w:bCs w:val="1"/>
          <w:color w:val="auto"/>
        </w:rPr>
        <w:t>Total purchase price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1,665.7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To develop the provisional fair values of assets acquired and liabilities assumed, the Company utilized currently available information and fair value allocation benchmarks from similar completed transactions. Deferred revenue was recognized in accordance with ASC Topic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as a result of the adoption of ASU 2021-08. See Note 1. General for additional information. The initial purchase accounting is incomplete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and subject to change during the measurement period, which may result in material changes to the purchase price allocation. The Company is in the process of finalizing information primarily related to the valuation of intangible assets, the measurement of deferred revenue, the associated deferred tax adjustments and the corresponding impact on goodwill.</w:t>
      </w:r>
    </w:p>
    <w:p>
      <w:pPr>
        <w:spacing w:after="0" w:line="21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currently estimates that customer relationships will be amortized over 13 years and trademarks will be amortized over 14 years. Goodwill is primarily attributable to assembled workforce and expected synergies to be achieved. The goodwill recognized is not deductible for tax purposes.</w:t>
      </w:r>
    </w:p>
    <w:p>
      <w:pPr>
        <w:spacing w:after="0" w:line="15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transaction costs associated with the acquisition consisted primarily of legal, regulatory and financial advisory fees, which were expensed as incurred as selling,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Generate's revenue and net income for the period from the acquisition date to January 31, 2022 were $33.8 million and $1.6 million, respectively. The following unaudited pro forma information summarizes the combined results of operations of the Company and Generate as if the acquisition had been completed at the beginning of the Company’s fiscal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r>
      <w:tr>
        <w:trPr>
          <w:trHeight w:val="230"/>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2,111.5</w:t>
            </w:r>
          </w:p>
        </w:tc>
      </w:tr>
    </w:tbl>
    <w:p>
      <w:pPr>
        <w:spacing w:after="0" w:line="33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unaudited pro forma information for the first three months of fiscal 2022 and 2021 was calculated after applying the Company's accounting policies and the impact of acquisition date fair value adjustments. The adjustments primarily include increased amortization for the fair value of acquired intangible assets, increased revenue as a result of the ASU 2021-08 deferred revenue adjustments, decreased interest expense as a result of the reversal of Generate's historical interest expense partially offset by additional interest expense on the debt obtained to finance the transaction.</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pro forma information does not reflect the effect of costs or synergies that would have been expected to result from the integration of the acquisition. The pro forma information does not purport to be indicative of the results of operations that actually would have resulted had the acquisition occurred at the beginning of fiscal 2021, or of future results of the consolidated entities.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February 7, 2022, subsequent to the fiscal quarter ended January 31, 2022, CooperSurgical entered into a binding letter of intent to acquire Cook Medical's Reproductive Health business, a manufacturer of minimally invasive medical devices focused on the fertility, obstetrics and gynecology markets. The aggregate consideration is $875.0 million in cash, with $675.0 million payable at the closing and the remaining $200.0 million payable in</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$50.0 million installments following each of the first, second, third and fourth anniversaries of the closing. The transaction is subject to customary closing conditions, including entry into a definitive acquisition agreement and regulatory approvals, and compliance with certain local employee consultation requirements. See Note 15. Subsequent Events for 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w:t>
      </w:r>
    </w:p>
    <w:p>
      <w:pPr>
        <w:spacing w:after="0" w:line="256"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On May 3, 2021, CooperSurgical completed the acquisition of a privately-held medical device company that develops single-use illuminating medical devices. The purchase price allocation is preliminary, and the Company is in the process of finalizing information primarily related to the valuation of intangible assets and inventory, the associated deferred tax adjustments and the corresponding impact on goodwill.</w:t>
      </w:r>
    </w:p>
    <w:p>
      <w:pPr>
        <w:spacing w:after="0" w:line="19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 April 26, 2021, CooperVision completed the acquisition of a privately-held UK contact lens manufacturer focusing on specialty contact lenses. This acquisition expands CooperVision's specialty eye care portfolio and accelerates its development of myopia management solutions in the UK.</w:t>
      </w:r>
    </w:p>
    <w:p>
      <w:pPr>
        <w:spacing w:after="0" w:line="15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March 1, 2021, CooperSurgical completed the acquisition of a privately-held medical device company that designed and developed an innovative obstetric product for use in urgent obstetrics to reduce risks associated with childbirth.</w:t>
      </w:r>
    </w:p>
    <w:p>
      <w:pPr>
        <w:spacing w:after="0" w:line="192"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On February 1, 2021, CooperSurgical acquired all of the remaining equity interests of a privately-held medical device company that developed the Mara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Water Vapor Ablation System, which is used for endometrial ablation. The Company accounted for this acquisition as an asset acquisition, whereby the Company allocated the total cost of the acquisition to the net assets acquired on the basis of their estimated relative fair values on the acquisition date with no goodwill recognized. The primary asset acquired in this asset acquisition is Technology.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On January 19, 2021, CooperVision acquired all of the remaining equity interests of a privately-held medical device company that develops spectacle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lenses for myopia management. The fair value remeasurement of our previous equity investment immediately before the acquisition resulted in a gain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$11.5 million, which was recorded in other income. The terms of the acquisition include upfront cash consideration paid at closing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$40.9 million attributable to the equity interests not held by the Company on the closing date. The transaction also includes potential payments of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that are contingent upon the achievement of the regulatory approval milestone (the regulatory approval payment) and the acquired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reaching certain revenue thresholds over a specified period (the revenue payments). The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undiscounted range of the contingent consideration is zero to $139.1 million payable to the other former equity interest owners.</w:t>
      </w:r>
    </w:p>
    <w:p>
      <w:pPr>
        <w:spacing w:after="0" w:line="25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estimated fair value of the contingent consideration on the acquisition date was approximately $37.9 million, and, accordingly, the Company recorded a liability of approximately $30.2 million, which represents the fair value of the contingent consideration payable to the other former equity interest owners. The fair value of the regulatory approval payment was determined using an option pricing framework based on the expected payment under the contractual terms and the estimates of the probability of achieving the regulatory approval. The fair value of the revenue payments was determined using a Monte Carlo simulation based on the revenue projections and the expected payment for each simulation.</w:t>
      </w:r>
    </w:p>
    <w:p>
      <w:pPr>
        <w:spacing w:after="0" w:line="203"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In fiscal 2021, a $56.8 million expense was recognized in selling, general and administrative expense in the Consolidated Statements of Income and Comprehensive Income, resulting from the increase in fair value of the contingent consideration. This was primarily driven by increases in revenue projections, which increased the estimated fair value of the revenue payments.</w:t>
      </w:r>
    </w:p>
    <w:p>
      <w:pPr>
        <w:spacing w:after="0" w:line="2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During the three months ended January 31, 2022, a $3.5 million expense was recognized in selling, general and administrative expense in the Consolidated Statements of Income and Comprehensive Income, resulting from the increase in fair value of the regulatory approval payment. As of January 31, 2022, no contingent consideration has been paid.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2020, CooperSurgical completed the acquisition of a privately-held in vitro fertilization (IVF) cryo-storage software solutions company.</w:t>
      </w:r>
    </w:p>
    <w:p>
      <w:pPr>
        <w:spacing w:after="0" w:line="2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 of the business combinations described above was not material to the consolidated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Certain of the Company’s business combinations involve potential payments of future consideration that are contingent upon the achievement of regulatory milestones and/or the acquired business reaching certain revenue thresholds. A liability is recorded for the estimated fair value of the contingent consideration on the acquisition date. The fair value of the contingent consideration is remeasured at each reporting period, and the change in fair value is recognized in selling, general and administrative expense in the Consolidated Statements of Income and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beginning and ending balances of contingent consideration: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Purchase price contingent consideration</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Change in fair value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25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On February 2, 2021, CooperVision entered into a stock purchase agreement to sell 50% of the equity interest in a wholly-owned subsidiary that was acquired by CooperVision on January 19, 2021. The closing of this transaction is subject to certain closing conditions including required regulatory approvals. The Company intends to operate the previously wholly-owned subsidiary as a joint venture with the purchaser of the 50% interest once the transaction is closed.</w:t>
      </w:r>
    </w:p>
    <w:p>
      <w:pPr>
        <w:spacing w:after="0" w:line="21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concluded the substantive terms of the joint venture during the third quarter of fiscal 2021, and the assets and liabilities of this disposal group were reclassified as held for sale as of July 31, 2021. On August 1, 2021, CooperVision entered into a stockholders agreement, which outlines the terms regarding the operation and management of the joint venture. As of January 31, 2022, the Company was in the process of finalizing the joint venture related ancillary agreements, and the disposal group continues to be classified as held for sale as of January 31,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ASC 360, assets held for sale were measured at the lower of their carrying amounts or fair value less cost to sell. The Company did not record any impairment during the three months ended January 31, 2022 and fiscal 2021. The Company has determined that this disposal did not qualify as a discontinued operation as the sale was deemed to not be a strategic shift that has or will have a major effect on the Company's operations and financial results.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Included in the Company's Consolidated Condensed Balance Sheets as of January 31, 2022 and October 31, 2021 are the following carrying amounts of the assets and liabilities held for sale: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840" w:type="dxa"/>
            <w:vAlign w:val="bottom"/>
            <w:gridSpan w:val="3"/>
          </w:tcPr>
          <w:p>
            <w:pPr>
              <w:ind w:left="200"/>
              <w:spacing w:after="0"/>
              <w:rPr>
                <w:sz w:val="20"/>
                <w:szCs w:val="20"/>
                <w:color w:val="auto"/>
              </w:rPr>
            </w:pPr>
            <w:r>
              <w:rPr>
                <w:rFonts w:ascii="Arial" w:cs="Arial" w:eastAsia="Arial" w:hAnsi="Arial"/>
                <w:sz w:val="14"/>
                <w:szCs w:val="14"/>
                <w:b w:val="1"/>
                <w:bCs w:val="1"/>
                <w:color w:val="auto"/>
              </w:rPr>
              <w:t>January 31, 2022</w:t>
            </w:r>
          </w:p>
        </w:tc>
        <w:tc>
          <w:tcPr>
            <w:tcW w:w="320" w:type="dxa"/>
            <w:vAlign w:val="bottom"/>
          </w:tcPr>
          <w:p>
            <w:pPr>
              <w:spacing w:after="0"/>
              <w:rPr>
                <w:sz w:val="14"/>
                <w:szCs w:val="14"/>
                <w:color w:val="auto"/>
              </w:rPr>
            </w:pPr>
          </w:p>
        </w:tc>
        <w:tc>
          <w:tcPr>
            <w:tcW w:w="1740" w:type="dxa"/>
            <w:vAlign w:val="bottom"/>
          </w:tcPr>
          <w:p>
            <w:pPr>
              <w:jc w:val="right"/>
              <w:ind w:right="412"/>
              <w:spacing w:after="0"/>
              <w:rPr>
                <w:sz w:val="20"/>
                <w:szCs w:val="20"/>
                <w:color w:val="auto"/>
              </w:rPr>
            </w:pPr>
            <w:r>
              <w:rPr>
                <w:rFonts w:ascii="Arial" w:cs="Arial" w:eastAsia="Arial" w:hAnsi="Arial"/>
                <w:sz w:val="14"/>
                <w:szCs w:val="14"/>
                <w:b w:val="1"/>
                <w:bCs w:val="1"/>
                <w:color w:val="auto"/>
              </w:rPr>
              <w:t>October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gridSpan w:val="4"/>
          </w:tcPr>
          <w:p>
            <w:pPr>
              <w:ind w:left="340"/>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4"/>
          </w:tcPr>
          <w:p>
            <w:pPr>
              <w:ind w:left="340"/>
              <w:spacing w:after="0"/>
              <w:rPr>
                <w:sz w:val="20"/>
                <w:szCs w:val="20"/>
                <w:color w:val="auto"/>
              </w:rPr>
            </w:pPr>
            <w:r>
              <w:rPr>
                <w:rFonts w:ascii="Arial" w:cs="Arial" w:eastAsia="Arial" w:hAnsi="Arial"/>
                <w:sz w:val="18"/>
                <w:szCs w:val="18"/>
                <w:color w:val="auto"/>
              </w:rPr>
              <w:t>Other intangibles, net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 assets held-for-sale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02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 liabilities held-for-sale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b w:val="1"/>
                <w:bCs w:val="1"/>
                <w:color w:val="auto"/>
              </w:rPr>
              <w:t>Note 3. Inventories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04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55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3"/>
          </w:tcPr>
          <w:p>
            <w:pPr>
              <w:ind w:left="180"/>
              <w:spacing w:after="0"/>
              <w:rPr>
                <w:sz w:val="20"/>
                <w:szCs w:val="20"/>
                <w:color w:val="auto"/>
              </w:rPr>
            </w:pPr>
            <w:r>
              <w:rPr>
                <w:rFonts w:ascii="Arial" w:cs="Arial" w:eastAsia="Arial" w:hAnsi="Arial"/>
                <w:sz w:val="14"/>
                <w:szCs w:val="14"/>
                <w:b w:val="1"/>
                <w:bCs w:val="1"/>
                <w:color w:val="auto"/>
              </w:rPr>
              <w:t>January 31, 2022</w:t>
            </w:r>
          </w:p>
        </w:tc>
        <w:tc>
          <w:tcPr>
            <w:tcW w:w="320" w:type="dxa"/>
            <w:vAlign w:val="bottom"/>
          </w:tcPr>
          <w:p>
            <w:pPr>
              <w:spacing w:after="0"/>
              <w:rPr>
                <w:sz w:val="24"/>
                <w:szCs w:val="24"/>
                <w:color w:val="auto"/>
              </w:rPr>
            </w:pPr>
          </w:p>
        </w:tc>
        <w:tc>
          <w:tcPr>
            <w:tcW w:w="1740" w:type="dxa"/>
            <w:vAlign w:val="bottom"/>
          </w:tcPr>
          <w:p>
            <w:pPr>
              <w:jc w:val="right"/>
              <w:ind w:right="412"/>
              <w:spacing w:after="0"/>
              <w:rPr>
                <w:sz w:val="20"/>
                <w:szCs w:val="20"/>
                <w:color w:val="auto"/>
              </w:rPr>
            </w:pPr>
            <w:r>
              <w:rPr>
                <w:rFonts w:ascii="Arial" w:cs="Arial" w:eastAsia="Arial" w:hAnsi="Arial"/>
                <w:sz w:val="14"/>
                <w:szCs w:val="14"/>
                <w:b w:val="1"/>
                <w:bCs w:val="1"/>
                <w:color w:val="auto"/>
              </w:rPr>
              <w:t>October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4"/>
          </w:tcPr>
          <w:p>
            <w:pPr>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Total inventories</w:t>
            </w: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CooperVision</w:t>
            </w:r>
          </w:p>
        </w:tc>
        <w:tc>
          <w:tcPr>
            <w:tcW w:w="22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CooperSurgical</w:t>
            </w:r>
          </w:p>
        </w:tc>
        <w:tc>
          <w:tcPr>
            <w:tcW w:w="380" w:type="dxa"/>
            <w:vAlign w:val="bottom"/>
          </w:tcPr>
          <w:p>
            <w:pPr>
              <w:spacing w:after="0"/>
              <w:rPr>
                <w:sz w:val="14"/>
                <w:szCs w:val="14"/>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2,574.0</w:t>
            </w:r>
          </w:p>
        </w:tc>
      </w:tr>
      <w:tr>
        <w:trPr>
          <w:trHeight w:val="230"/>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Current period additions</w:t>
            </w:r>
          </w:p>
        </w:tc>
        <w:tc>
          <w:tcPr>
            <w:tcW w:w="2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1,291.3</w:t>
            </w: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Balance at January 31, 2022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Company evaluates goodwill for impairment annually during the fiscal third quarter and when an event occurs or circumstances change such that it is reasonably possible that impairment may exist. The Company accounts for goodwill, evaluates and tests goodwill balances for impairment in accordance with related accounting standards.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performed an annual impairment assessment in the third quarter of fiscal 2021, and its analysis indicated that there was no impairment of goodwill in its reporting units.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480"/>
              <w:spacing w:after="0"/>
              <w:rPr>
                <w:sz w:val="20"/>
                <w:szCs w:val="20"/>
                <w:color w:val="auto"/>
              </w:rPr>
            </w:pPr>
            <w:r>
              <w:rPr>
                <w:rFonts w:ascii="Arial" w:cs="Arial" w:eastAsia="Arial" w:hAnsi="Arial"/>
                <w:sz w:val="14"/>
                <w:szCs w:val="14"/>
                <w:b w:val="1"/>
                <w:bCs w:val="1"/>
                <w:color w:val="auto"/>
              </w:rPr>
              <w:t>January 31, 2022</w:t>
            </w:r>
          </w:p>
        </w:tc>
        <w:tc>
          <w:tcPr>
            <w:tcW w:w="140" w:type="dxa"/>
            <w:vAlign w:val="bottom"/>
          </w:tcPr>
          <w:p>
            <w:pPr>
              <w:spacing w:after="0"/>
              <w:rPr>
                <w:sz w:val="16"/>
                <w:szCs w:val="16"/>
                <w:color w:val="auto"/>
              </w:rPr>
            </w:pPr>
          </w:p>
        </w:tc>
        <w:tc>
          <w:tcPr>
            <w:tcW w:w="214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October 31, 2021</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5"/>
                <w:szCs w:val="5"/>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78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Trademarks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Composite intangible asset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Technology</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License and distribution rights and other</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Less: accumulated amortization and translation</w:t>
            </w: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881.9</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vMerge w:val="continue"/>
          </w:tcPr>
          <w:p>
            <w:pPr>
              <w:spacing w:after="0"/>
              <w:rPr>
                <w:sz w:val="15"/>
                <w:szCs w:val="15"/>
                <w:color w:val="auto"/>
              </w:rPr>
            </w:pPr>
          </w:p>
        </w:tc>
        <w:tc>
          <w:tcPr>
            <w:tcW w:w="4880" w:type="dxa"/>
            <w:vAlign w:val="bottom"/>
            <w:tcBorders>
              <w:bottom w:val="single" w:sz="8" w:color="CCEEFF"/>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Intangible assets with indefinite lives, net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Intangible assets with indefinite lives include technology and trademarks.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Balances include foreign currency translation adjustments.</w:t>
      </w:r>
    </w:p>
    <w:p>
      <w:pPr>
        <w:spacing w:after="0" w:line="23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Intangible assets with definite lives are amortized over the estimated useful life of the assets. As of January 31, 2022, the estimate of future amortization expenses for intangible assets with definite lives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gridSpan w:val="2"/>
          </w:tcPr>
          <w:p>
            <w:pPr>
              <w:spacing w:after="0"/>
              <w:rPr>
                <w:sz w:val="20"/>
                <w:szCs w:val="20"/>
                <w:color w:val="auto"/>
              </w:rPr>
            </w:pPr>
            <w:r>
              <w:rPr>
                <w:rFonts w:ascii="Arial" w:cs="Arial" w:eastAsia="Arial" w:hAnsi="Arial"/>
                <w:sz w:val="14"/>
                <w:szCs w:val="14"/>
                <w:b w:val="1"/>
                <w:bCs w:val="1"/>
                <w:color w:val="auto"/>
              </w:rPr>
              <w:t>Fiscal Years:</w:t>
            </w:r>
          </w:p>
        </w:tc>
        <w:tc>
          <w:tcPr>
            <w:tcW w:w="440" w:type="dxa"/>
            <w:vAlign w:val="bottom"/>
          </w:tcPr>
          <w:p>
            <w:pPr>
              <w:spacing w:after="0"/>
              <w:rPr>
                <w:sz w:val="14"/>
                <w:szCs w:val="14"/>
                <w:color w:val="auto"/>
              </w:rPr>
            </w:pPr>
          </w:p>
        </w:tc>
        <w:tc>
          <w:tcPr>
            <w:tcW w:w="1840" w:type="dxa"/>
            <w:vAlign w:val="bottom"/>
          </w:tcPr>
          <w:p>
            <w:pPr>
              <w:jc w:val="right"/>
              <w:ind w:right="672"/>
              <w:spacing w:after="0"/>
              <w:rPr>
                <w:sz w:val="20"/>
                <w:szCs w:val="20"/>
                <w:color w:val="auto"/>
              </w:rPr>
            </w:pPr>
            <w:r>
              <w:rPr>
                <w:rFonts w:ascii="Arial" w:cs="Arial" w:eastAsia="Arial" w:hAnsi="Arial"/>
                <w:sz w:val="14"/>
                <w:szCs w:val="14"/>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8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3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30"/>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3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178.3</w:t>
            </w:r>
          </w:p>
        </w:tc>
      </w:tr>
      <w:tr>
        <w:trPr>
          <w:trHeight w:val="229"/>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r>
      <w:tr>
        <w:trPr>
          <w:trHeight w:val="230"/>
        </w:trPr>
        <w:tc>
          <w:tcPr>
            <w:tcW w:w="20" w:type="dxa"/>
            <w:vAlign w:val="bottom"/>
            <w:tcBorders>
              <w:bottom w:val="single" w:sz="8" w:color="CCEEFF"/>
            </w:tcBorders>
          </w:tcPr>
          <w:p>
            <w:pPr>
              <w:spacing w:after="0"/>
              <w:rPr>
                <w:sz w:val="19"/>
                <w:szCs w:val="19"/>
                <w:color w:val="auto"/>
              </w:rPr>
            </w:pPr>
          </w:p>
        </w:tc>
        <w:tc>
          <w:tcPr>
            <w:tcW w:w="8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remaining amortization for intangible assets with definite lives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assesses definite-lived intangible assets whenever events or changes in circumstances indicate that the carrying amount of a definite-lived intangible asset (asset group) may not be recoverable. When events or changes in circumstances indicate that the carrying amount of a definite-lived intangible asset may not be recoverable, in accordance with related accounting standards, the Company evaluates whether the definite-lived intangible asset is impaired by comparing its carrying value to its undiscounted future cash flows.</w:t>
      </w:r>
    </w:p>
    <w:p>
      <w:pPr>
        <w:spacing w:after="0" w:line="13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assesses indefinite-lived intangible assets annually in the third quarter of the fiscal year, or whenever events or circumstances indicate that the carrying amount of an indefinite-lived intangible asset (asset group) may not be recoverable. The Company evaluates whether the indefinite-lived intangible asset is impaired by comparing its carrying value to its fair value.</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performed an annual impairment assessment in the third quarter of fiscal 2021 and did not recognize any intangible asset impairment charges.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Debt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 2022</w:t>
            </w:r>
          </w:p>
        </w:tc>
        <w:tc>
          <w:tcPr>
            <w:tcW w:w="240" w:type="dxa"/>
            <w:vAlign w:val="bottom"/>
          </w:tcPr>
          <w:p>
            <w:pPr>
              <w:spacing w:after="0"/>
              <w:rPr>
                <w:sz w:val="14"/>
                <w:szCs w:val="14"/>
                <w:color w:val="auto"/>
              </w:rPr>
            </w:pPr>
          </w:p>
        </w:tc>
        <w:tc>
          <w:tcPr>
            <w:tcW w:w="1600" w:type="dxa"/>
            <w:vAlign w:val="bottom"/>
          </w:tcPr>
          <w:p>
            <w:pPr>
              <w:jc w:val="right"/>
              <w:ind w:right="312"/>
              <w:spacing w:after="0"/>
              <w:rPr>
                <w:sz w:val="20"/>
                <w:szCs w:val="20"/>
                <w:color w:val="auto"/>
              </w:rPr>
            </w:pPr>
            <w:r>
              <w:rPr>
                <w:rFonts w:ascii="Arial" w:cs="Arial" w:eastAsia="Arial" w:hAnsi="Arial"/>
                <w:sz w:val="14"/>
                <w:szCs w:val="14"/>
                <w:b w:val="1"/>
                <w:bCs w:val="1"/>
                <w:color w:val="auto"/>
              </w:rPr>
              <w:t>October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Overdraft and other credit facilities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Short-term debt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Revolving credit</w:t>
            </w:r>
          </w:p>
        </w:tc>
        <w:tc>
          <w:tcPr>
            <w:tcW w:w="2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546.1</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Agreement on December 17, 2021</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 billion, upon prior written notice to the administrative agent and subject to the discretionary participation of the lenders funding such term loans and certain limitations set forth in the 2021 Credit Agreement.</w:t>
      </w:r>
    </w:p>
    <w:p>
      <w:pPr>
        <w:spacing w:after="0" w:line="191"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Amounts outstanding under the 2021 Term Loan Facility will bear interest, at the Company’s option, at either (i) the alternate base rate, which is a rate per annum equal to the greatest of (a) the administrative agent’s prime rate, (b) one-half of one percent in excess of the federal funds effective rate and (c) one percent in excess of the adjusted London interbank offered (“LIBO”) rate for a one-month interest period on such day, or (ii) the adjusted LIBO rate, plus, in each case, an applicable rate of, initially, zero basis points, in respect of base rate loans, and 75 basis points, in respect of adjusted LIBO rate loans.</w:t>
      </w:r>
    </w:p>
    <w:p>
      <w:pPr>
        <w:spacing w:after="0" w:line="1"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Following a specified period after the closing date, the applicable rates will be determined quarterly by reference to a grid based upon the Company’s ratio of consolidated net indebtedness to consolidated EBITDA, each as defined in the 2021 Credit Agreement.</w:t>
      </w:r>
    </w:p>
    <w:p>
      <w:pPr>
        <w:spacing w:after="0" w:line="2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2021 Term Loan Facility is not subject to amortization and is not subject to mandatory prepayments prior to maturity. The Company may prepay loan balances from time to time, in whole or in part, without premium or penalty (other than any related breakage costs).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On December 17, 2021, the Company borrowed $1.5 billion under the 2021 Term Loan Facility and used the proceeds to fund the acquisition of Generate.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Acquisitions and Assets Held for Sale for more details.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2021 Term Loan Facility was 0.85% at January 31, 2022.</w:t>
      </w:r>
    </w:p>
    <w:p>
      <w:pPr>
        <w:spacing w:after="0" w:line="25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2021 Credit Agreement contains customary restrictive covenants, as well as financial covenants that require the Company to maintain a certain Total Leverage Ratio and Interest Coverage Ratio, each as defined in the 2021 Credit Agreement, consistent with the 2020 Credit Agreement discussed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Agreement on November 2, 2021</w:t>
      </w:r>
    </w:p>
    <w:p>
      <w:pPr>
        <w:spacing w:after="0" w:line="25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November 2, 2021, the Company entered into a 364-day, $840.0 million, term loan agreement by and among the Company, the lenders party thereto and The Bank of Nova Scotia, as administrative agent (the 2021 364-Day Term Loan Agreement), which matures on November 1, 2022. The Company used part of the funds to partially repay outstanding borrowings under the 2020 Revolving Credit Facility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Amounts outstanding under the 2021 364-Day Term Loan Agreement will bear interest, at the Company’s option, at either the alternate base rate, or the adjusted LIBO rate (each as defined in the 2021 364-Day Term Loan Agreement), plus, in the case of adjusted LIBO rate loans, an applicable rate of 60 basis points.</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2021 364-Day Term Loan Agreement contains customary restrictive covenants, as well as financial covenants that require the Company to maintain a certain total leverage ratio and interest coverage ratio, each as defined in the 2021 364-Day Term Loan Agreement, consistent with the 2020 Credit Agreement. discussed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April 1, 2020</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69"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color w:val="auto"/>
        </w:rPr>
        <w:t>Amounts outstanding under the 2020 Credit Agreement will bear interest, at the Company’s option, at either the base rate, or the adjusted LIBO rate or adjusted foreign currency rate, plus, in each case, an applicable rate of between 0.00% and 0.50% in respect of base rate loans, and between 0.75% and 1.50% in respect of adjusted LIBO rate or adjusted foreign currency rate loans, in each case in accordance with a pricing grid tied to the Total Leverage Ratio, as defined in the 2020 Credit Agreement. During the term of the 2020 Revolving Credit Facility, the Borrowers may borrow, repay and re-borrow amounts available under the Revolving Credit Facility, subject to voluntary reduction of the revolving commitment.</w:t>
      </w:r>
    </w:p>
    <w:p>
      <w:pPr>
        <w:spacing w:after="0" w:line="5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pays an annual commitment fee that ranges from 0.10% to 0.20% of the unused portion of the 2020 Revolving Credit Facility based upon the Company’s Total Leverage Ratio, as defined in the 2020 Credit Agreement. In addition to the annual commitment fee, the Company is also required to pay certain letter of credit and related fronting fees and other administrative fees pursuant to the terms of the 2020 Credit Agreement.</w:t>
      </w:r>
    </w:p>
    <w:p>
      <w:pPr>
        <w:spacing w:after="0" w:line="4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On April 1, 2020, the Company borrowed $850.0 million under the 2020 Term Loan Facility and $445.0 million under the 2020 Revolving Credit Facility and used the proceeds to repay the outstanding amounts under the previous credit agreement and an outstanding term loan, and for general corporate purposes.</w:t>
      </w:r>
    </w:p>
    <w:p>
      <w:pPr>
        <w:spacing w:after="0" w:line="7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October 30, 2020, the Company entered into Amendment No. 1 to the 2020 Credit Agreement (the First Amendment to the 2020 Credit Agreement). The First Amendment to the 2020 Credit Agreement modifies the 2020 Credit Agreement by, among other things, adding CooperVision International Limited as a revolving borrower and releasing certain borrowers in the 2020 Credit Agreement.</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December 17, 2021, the Company entered into Amendment No. 2 to the 2020 Credit Agreement (the Second Amendment to the 2020 Credit Agreement). The Second Amendment to the 2020 Credit Agreement modifies the 2020 Credit Agreement by, among other things, adding CooperSurgical Holdings Limited as a revolving borrower, releasing CooperVision Holding Kft as a borrower, and updating the benchmark replacement language in the 2020 Credit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2020 Term Loan Facility was 0.85% at January 31, 2022.</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2020 Credit Agreement contains customary restrictive covenants, as well as financial covenants that require the Company to maintain a certain Total Leverage Ratio and Interest Coverage Ratio, each as defined in the 2020 Credit Agreement:</w:t>
      </w:r>
    </w:p>
    <w:p>
      <w:pPr>
        <w:spacing w:after="0" w:line="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January 31, 2022, the Company was in compliance with the Interest Coverage Ratio at 47.19 to 1.00 and the Total Leverage Ratio at 2.71 to 1.00.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2021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is a summary of the maximum commitments and the net amounts available to us under credit facilities discussed above as of January 31,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Total Amount</w:t>
            </w:r>
          </w:p>
        </w:tc>
        <w:tc>
          <w:tcPr>
            <w:tcW w:w="120" w:type="dxa"/>
            <w:vAlign w:val="bottom"/>
          </w:tcPr>
          <w:p>
            <w:pPr>
              <w:spacing w:after="0"/>
              <w:rPr>
                <w:sz w:val="14"/>
                <w:szCs w:val="14"/>
                <w:color w:val="auto"/>
              </w:rPr>
            </w:pPr>
          </w:p>
        </w:tc>
        <w:tc>
          <w:tcPr>
            <w:tcW w:w="2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Letters of Credit</w:t>
            </w:r>
          </w:p>
        </w:tc>
        <w:tc>
          <w:tcPr>
            <w:tcW w:w="140" w:type="dxa"/>
            <w:vAlign w:val="bottom"/>
          </w:tcPr>
          <w:p>
            <w:pPr>
              <w:spacing w:after="0"/>
              <w:rPr>
                <w:sz w:val="12"/>
                <w:szCs w:val="12"/>
                <w:color w:val="auto"/>
              </w:rPr>
            </w:pPr>
          </w:p>
        </w:tc>
        <w:tc>
          <w:tcPr>
            <w:tcW w:w="108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17, 2026</w:t>
            </w: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2021</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364-Day Term Loan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November 1, 2022</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Income Taxes</w:t>
      </w:r>
    </w:p>
    <w:p>
      <w:pPr>
        <w:spacing w:after="0" w:line="27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Company's effective tax rates for the three months ended January 31, 2022 and January 31, 2021 were 21.8% and (1,406.3)%, respectively. The increase was primarily due to an intra-group transfer of intellectual property during the three months ended January 31, 2021, as discussed below.</w:t>
      </w:r>
    </w:p>
    <w:p>
      <w:pPr>
        <w:spacing w:after="0" w:line="15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November 2020, the Company completed an intra-group transfer of certain intellectual property and related assets of CooperVision to a UK subsidiary as part of a group restructuring to establish headquarters operations in the UK. Determining fair value involved significant judgment related to future revenue growth, operating margins and discount rates. The transfer resulted in a step-up of the UK tax-deductible basis in the intellectual property and goodwill, creating a temporary difference between the book basis and the tax basis of these assets. As a result, the Company recognized a deferred tax asset of $1,987.9 million, with a corresponding income tax benefit, during the three months ended January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Earnings Per Share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420" w:type="dxa"/>
            <w:vAlign w:val="bottom"/>
          </w:tcPr>
          <w:p>
            <w:pPr>
              <w:spacing w:after="0"/>
              <w:rPr>
                <w:sz w:val="13"/>
                <w:szCs w:val="13"/>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Basic:</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0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Basic earnings per share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00" w:type="dxa"/>
            <w:vAlign w:val="bottom"/>
            <w:gridSpan w:val="2"/>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7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Diluted:</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Weighted average common shares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Effect of dilutive stock plans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shares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stock options to purchase our common stock that were not included in the diluted earnings per share calculation because their effect would have been antidilutive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exercise prices)</w:t>
            </w:r>
          </w:p>
        </w:tc>
        <w:tc>
          <w:tcPr>
            <w:tcW w:w="5160" w:type="dxa"/>
            <w:vAlign w:val="bottom"/>
            <w:gridSpan w:val="2"/>
          </w:tcPr>
          <w:p>
            <w:pPr>
              <w:jc w:val="right"/>
              <w:ind w:right="77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3"/>
                <w:szCs w:val="13"/>
                <w:color w:val="auto"/>
              </w:rPr>
            </w:pPr>
          </w:p>
        </w:tc>
        <w:tc>
          <w:tcPr>
            <w:tcW w:w="2020" w:type="dxa"/>
            <w:vAlign w:val="bottom"/>
          </w:tcPr>
          <w:p>
            <w:pPr>
              <w:jc w:val="right"/>
              <w:ind w:right="776"/>
              <w:spacing w:after="0"/>
              <w:rPr>
                <w:sz w:val="20"/>
                <w:szCs w:val="20"/>
                <w:color w:val="auto"/>
              </w:rPr>
            </w:pPr>
            <w:r>
              <w:rPr>
                <w:rFonts w:ascii="Arial" w:cs="Arial" w:eastAsia="Arial" w:hAnsi="Arial"/>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shares excluded</w:t>
            </w:r>
          </w:p>
        </w:tc>
        <w:tc>
          <w:tcPr>
            <w:tcW w:w="3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2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3140" w:type="dxa"/>
            <w:vAlign w:val="bottom"/>
          </w:tcPr>
          <w:p>
            <w:pPr>
              <w:spacing w:after="0"/>
              <w:rPr>
                <w:sz w:val="20"/>
                <w:szCs w:val="20"/>
                <w:color w:val="auto"/>
              </w:rPr>
            </w:pPr>
          </w:p>
        </w:tc>
        <w:tc>
          <w:tcPr>
            <w:tcW w:w="2160" w:type="dxa"/>
            <w:vAlign w:val="bottom"/>
            <w:gridSpan w:val="2"/>
          </w:tcPr>
          <w:p>
            <w:pPr>
              <w:ind w:left="660"/>
              <w:spacing w:after="0"/>
              <w:rPr>
                <w:sz w:val="20"/>
                <w:szCs w:val="20"/>
                <w:color w:val="auto"/>
              </w:rPr>
            </w:pPr>
            <w:r>
              <w:rPr>
                <w:rFonts w:ascii="Arial" w:cs="Arial" w:eastAsia="Arial" w:hAnsi="Arial"/>
                <w:sz w:val="18"/>
                <w:szCs w:val="18"/>
                <w:color w:val="auto"/>
                <w:w w:val="98"/>
              </w:rPr>
              <w:t>$345.74 – $406.17</w:t>
            </w:r>
          </w:p>
        </w:tc>
        <w:tc>
          <w:tcPr>
            <w:tcW w:w="2020" w:type="dxa"/>
            <w:vAlign w:val="bottom"/>
          </w:tcPr>
          <w:p>
            <w:pPr>
              <w:jc w:val="right"/>
              <w:spacing w:after="0"/>
              <w:rPr>
                <w:sz w:val="20"/>
                <w:szCs w:val="20"/>
                <w:color w:val="auto"/>
              </w:rPr>
            </w:pPr>
            <w:r>
              <w:rPr>
                <w:rFonts w:ascii="Arial" w:cs="Arial" w:eastAsia="Arial" w:hAnsi="Arial"/>
                <w:sz w:val="18"/>
                <w:szCs w:val="18"/>
                <w:color w:val="auto"/>
              </w:rPr>
              <w:t>$304.54 – $345.74</w:t>
            </w:r>
          </w:p>
        </w:tc>
      </w:tr>
      <w:tr>
        <w:trPr>
          <w:trHeight w:val="890"/>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140" w:type="dxa"/>
            <w:vAlign w:val="bottom"/>
          </w:tcPr>
          <w:p>
            <w:pPr>
              <w:jc w:val="right"/>
              <w:ind w:right="1259"/>
              <w:spacing w:after="0"/>
              <w:rPr>
                <w:sz w:val="20"/>
                <w:szCs w:val="20"/>
                <w:color w:val="auto"/>
              </w:rPr>
            </w:pPr>
            <w:r>
              <w:rPr>
                <w:rFonts w:ascii="Arial" w:cs="Arial" w:eastAsia="Arial" w:hAnsi="Arial"/>
                <w:sz w:val="18"/>
                <w:szCs w:val="18"/>
                <w:color w:val="auto"/>
              </w:rPr>
              <w:t>17</w:t>
            </w: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Share-Based Compensation Plans</w:t>
      </w:r>
    </w:p>
    <w:p>
      <w:pPr>
        <w:spacing w:after="0" w:line="175" w:lineRule="exact"/>
        <w:rPr>
          <w:sz w:val="20"/>
          <w:szCs w:val="20"/>
          <w:color w:val="auto"/>
        </w:rPr>
      </w:pPr>
    </w:p>
    <w:p>
      <w:pPr>
        <w:jc w:val="both"/>
        <w:ind w:right="320"/>
        <w:spacing w:after="0" w:line="220" w:lineRule="exact"/>
        <w:rPr>
          <w:sz w:val="20"/>
          <w:szCs w:val="20"/>
          <w:color w:val="auto"/>
        </w:rPr>
      </w:pPr>
      <w:r>
        <w:rPr>
          <w:rFonts w:ascii="Arial" w:cs="Arial" w:eastAsia="Arial" w:hAnsi="Arial"/>
          <w:sz w:val="18"/>
          <w:szCs w:val="18"/>
          <w:color w:val="auto"/>
        </w:rPr>
        <w:t>The Company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2021. The compensation expense and related income tax benefit recognized in our Consolidated Statements of Income and Comprehensive Income for share-based awards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61"/>
        </w:trPr>
        <w:tc>
          <w:tcPr>
            <w:tcW w:w="2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income tax benefit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Minimum Pension</w:t>
            </w:r>
          </w:p>
        </w:tc>
        <w:tc>
          <w:tcPr>
            <w:tcW w:w="1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 Instruments</w:t>
            </w:r>
          </w:p>
        </w:tc>
        <w:tc>
          <w:tcPr>
            <w:tcW w:w="360" w:type="dxa"/>
            <w:vAlign w:val="bottom"/>
          </w:tcPr>
          <w:p>
            <w:pPr>
              <w:spacing w:after="0"/>
              <w:rPr>
                <w:sz w:val="14"/>
                <w:szCs w:val="14"/>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Translation Adjustment</w:t>
            </w: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Liability</w:t>
            </w:r>
          </w:p>
        </w:tc>
        <w:tc>
          <w:tcPr>
            <w:tcW w:w="16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Gross change in value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Balance at October 31, 2021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change in value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Tax effect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31, 2022</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December 2011, the Company's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During the first quarter of fiscal 2022, the Company repurchased 191.2 thousand shares of the Company’s common stock for $78.5 million, at an average purchase price of $410.41 per share. At January 31, 2022, $256.4 million remained authorized for repurchase under the program.</w:t>
      </w:r>
    </w:p>
    <w:p>
      <w:pPr>
        <w:spacing w:after="0" w:line="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first quarter of fiscal 2021, the Company repurchased 69.6 thousand shares of the Company’s common stock for $24.8 million, at an average purchase price of $356.61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paid a semiannual dividend of approximately $1.5 million or 3 cents per share, on February 9, 2022, to stockholders of record on January 21,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Fair Value Measurements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At January 31, 2022 and October 31, 2021,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211"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The carrying value of the Company's revolving credit facility and term loans approximates fair value based on current market rates (Level 2). On April 6, 2020 the Company entered into six interest rate swap contracts which are used to hedge its exposure to changes in cash flows associated with its variable rate debt and are designated as derivatives in a cash flow hedge. The payment streams are based on a total notional amount of $1.5 billion at the inception of the contracts. The interest rate swap contracts had maturities of seven years or less. As of January 31, 2022, three of the six interest rate swap contracts have matured, and the outstanding contracts have a total notional amount of $1.0 billion.</w:t>
      </w:r>
    </w:p>
    <w:p>
      <w:pPr>
        <w:spacing w:after="0" w:line="2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gain or loss on the derivatives is recorded as a component of accumulated other comprehensive income and subsequently reclassified into interest expense in the same period during which the hedged transaction affects earnings.</w:t>
      </w:r>
    </w:p>
    <w:p>
      <w:pPr>
        <w:spacing w:after="0" w:line="19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fair value of the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Refer to Note 14. Financial Derivatives and Hedging for further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cross currency swaps or foreign currency forward contracts as of January 31, 2022 and October 31, 2021.</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fair value of the Company's contingent consideration for which a liability is recorded is measured on a recurring basis as a Level 3 measurement, and the change in fair value is recognized in selling, general and administrative expense in the Consolidated Statements of Income and Comprehensive Income. Refer to Note 2. Acquisitions and Assets Held for Sale for further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uses fair value measures when determining assets and liabilities acquired in an acquisition as described in Note 2. Acquisitions and Assets Held for Sale which are considered a Level 3 measurement.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Employee Benefits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Company's Retirement Income Plan (the Plan), a defined benefit plan, covers substantially all full-time United States employees. The Company's contributions are designed to fund normal cost on a current basis and to fund the estimated prior service cost of benefit improvements. The unit credit actuarial cost method is used to determine the annual cost. The Company pays the entire cost of the Plan and funds such costs as they accrue. Virtually all of the assets of the Plan are comprised of equities and participation in equity and fixed income funds.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results of operations for the three months ended January 31, 2022 and 2021, reflect the following components of net periodic defined benefit costs: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61"/>
        </w:trPr>
        <w:tc>
          <w:tcPr>
            <w:tcW w:w="2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w w:val="95"/>
              </w:rPr>
              <w:t>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913"/>
              <w:spacing w:after="0"/>
              <w:rPr>
                <w:sz w:val="20"/>
                <w:szCs w:val="20"/>
                <w:color w:val="auto"/>
              </w:rPr>
            </w:pPr>
            <w:r>
              <w:rPr>
                <w:rFonts w:ascii="Arial" w:cs="Arial" w:eastAsia="Arial" w:hAnsi="Arial"/>
                <w:sz w:val="18"/>
                <w:szCs w:val="18"/>
                <w:color w:val="auto"/>
                <w:w w:val="87"/>
              </w:rPr>
              <w:t>4.3</w:t>
            </w:r>
          </w:p>
        </w:tc>
      </w:tr>
      <w:tr>
        <w:trPr>
          <w:trHeight w:val="229"/>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9"/>
                <w:szCs w:val="19"/>
                <w:color w:val="auto"/>
              </w:rPr>
            </w:pPr>
          </w:p>
        </w:tc>
        <w:tc>
          <w:tcPr>
            <w:tcW w:w="1380" w:type="dxa"/>
            <w:vAlign w:val="bottom"/>
          </w:tcPr>
          <w:p>
            <w:pPr>
              <w:jc w:val="center"/>
              <w:ind w:left="933"/>
              <w:spacing w:after="0"/>
              <w:rPr>
                <w:sz w:val="20"/>
                <w:szCs w:val="20"/>
                <w:color w:val="auto"/>
              </w:rPr>
            </w:pPr>
            <w:r>
              <w:rPr>
                <w:rFonts w:ascii="Arial" w:cs="Arial" w:eastAsia="Arial" w:hAnsi="Arial"/>
                <w:sz w:val="18"/>
                <w:szCs w:val="18"/>
                <w:color w:val="auto"/>
                <w:w w:val="95"/>
              </w:rPr>
              <w:t>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center"/>
              <w:ind w:left="913"/>
              <w:spacing w:after="0"/>
              <w:rPr>
                <w:sz w:val="20"/>
                <w:szCs w:val="20"/>
                <w:color w:val="auto"/>
              </w:rPr>
            </w:pPr>
            <w:r>
              <w:rPr>
                <w:rFonts w:ascii="Arial" w:cs="Arial" w:eastAsia="Arial" w:hAnsi="Arial"/>
                <w:sz w:val="18"/>
                <w:szCs w:val="18"/>
                <w:color w:val="auto"/>
                <w:w w:val="87"/>
              </w:rPr>
              <w:t>1.1</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3"/>
              <w:spacing w:after="0"/>
              <w:rPr>
                <w:sz w:val="20"/>
                <w:szCs w:val="20"/>
                <w:color w:val="auto"/>
              </w:rPr>
            </w:pPr>
            <w:r>
              <w:rPr>
                <w:rFonts w:ascii="Arial" w:cs="Arial" w:eastAsia="Arial" w:hAnsi="Arial"/>
                <w:sz w:val="18"/>
                <w:szCs w:val="18"/>
                <w:color w:val="auto"/>
                <w:w w:val="91"/>
              </w:rPr>
              <w:t>(4.0)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893"/>
              <w:spacing w:after="0"/>
              <w:rPr>
                <w:sz w:val="20"/>
                <w:szCs w:val="20"/>
                <w:color w:val="auto"/>
              </w:rPr>
            </w:pPr>
            <w:r>
              <w:rPr>
                <w:rFonts w:ascii="Arial" w:cs="Arial" w:eastAsia="Arial" w:hAnsi="Arial"/>
                <w:sz w:val="18"/>
                <w:szCs w:val="18"/>
                <w:color w:val="auto"/>
                <w:w w:val="97"/>
              </w:rPr>
              <w:t>(3.1)</w:t>
            </w:r>
          </w:p>
        </w:tc>
      </w:tr>
      <w:tr>
        <w:trPr>
          <w:trHeight w:val="229"/>
        </w:trPr>
        <w:tc>
          <w:tcPr>
            <w:tcW w:w="2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Recognized net actuarial gain</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5"/>
              </w:rPr>
              <w:t>0.6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3"/>
              <w:spacing w:after="0"/>
              <w:rPr>
                <w:sz w:val="20"/>
                <w:szCs w:val="20"/>
                <w:color w:val="auto"/>
              </w:rPr>
            </w:pPr>
            <w:r>
              <w:rPr>
                <w:rFonts w:ascii="Arial" w:cs="Arial" w:eastAsia="Arial" w:hAnsi="Arial"/>
                <w:sz w:val="18"/>
                <w:szCs w:val="18"/>
                <w:color w:val="auto"/>
                <w:w w:val="87"/>
              </w:rPr>
              <w:t>1.3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defined benefit plan cost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center"/>
              <w:ind w:left="933"/>
              <w:spacing w:after="0"/>
              <w:rPr>
                <w:sz w:val="20"/>
                <w:szCs w:val="20"/>
                <w:color w:val="auto"/>
              </w:rPr>
            </w:pPr>
            <w:r>
              <w:rPr>
                <w:rFonts w:ascii="Arial" w:cs="Arial" w:eastAsia="Arial" w:hAnsi="Arial"/>
                <w:sz w:val="18"/>
                <w:szCs w:val="18"/>
                <w:color w:val="auto"/>
                <w:w w:val="95"/>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center"/>
              <w:ind w:left="913"/>
              <w:spacing w:after="0"/>
              <w:rPr>
                <w:sz w:val="20"/>
                <w:szCs w:val="20"/>
                <w:color w:val="auto"/>
              </w:rPr>
            </w:pPr>
            <w:r>
              <w:rPr>
                <w:rFonts w:ascii="Arial" w:cs="Arial" w:eastAsia="Arial" w:hAnsi="Arial"/>
                <w:sz w:val="18"/>
                <w:szCs w:val="18"/>
                <w:color w:val="auto"/>
                <w:w w:val="87"/>
              </w:rPr>
              <w:t>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 did not contribute to the Plan during the first three months of fiscal 2022, and the Company is uncertain of the amount it will contribute during the remainder of the year. The Company did not contribute to the Plan in the first three months of fiscal 2021. The expected rate of return on Plan assets for determining net periodic benefit plan cost is 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Contingencies</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Legal fees are expensed as incurred.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Business Segment Information</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70" w:lineRule="exact"/>
        <w:rPr>
          <w:sz w:val="20"/>
          <w:szCs w:val="20"/>
          <w:color w:val="auto"/>
        </w:rPr>
      </w:pPr>
    </w:p>
    <w:p>
      <w:pPr>
        <w:ind w:left="660" w:right="100" w:hanging="328"/>
        <w:spacing w:after="0" w:line="286" w:lineRule="auto"/>
        <w:tabs>
          <w:tab w:leader="none" w:pos="65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CooperVision. </w:t>
      </w:r>
      <w:r>
        <w:rPr>
          <w:rFonts w:ascii="Arial" w:cs="Arial" w:eastAsia="Arial" w:hAnsi="Arial"/>
          <w:sz w:val="17"/>
          <w:szCs w:val="17"/>
          <w:color w:val="auto"/>
        </w:rPr>
        <w:t>Competes in the worldwide contact lens market by developing, manufacturing and marketing a broad range of products for contact</w:t>
      </w:r>
      <w:r>
        <w:rPr>
          <w:rFonts w:ascii="Arial" w:cs="Arial" w:eastAsia="Arial" w:hAnsi="Arial"/>
          <w:sz w:val="17"/>
          <w:szCs w:val="17"/>
          <w:i w:val="1"/>
          <w:iCs w:val="1"/>
          <w:color w:val="auto"/>
        </w:rPr>
        <w:t xml:space="preserve"> </w:t>
      </w:r>
      <w:r>
        <w:rPr>
          <w:rFonts w:ascii="Arial" w:cs="Arial" w:eastAsia="Arial" w:hAnsi="Arial"/>
          <w:sz w:val="17"/>
          <w:szCs w:val="17"/>
          <w:color w:val="auto"/>
        </w:rPr>
        <w:t>lens wearers, featuring advanced materials and optics. CooperVision designs its products to solve vision challenges such as astigmatism, presbyopia, myopia, ocular dryness and eye fatigues, with a broad collection of spherical, toric and multifocal contact lenses.</w:t>
      </w:r>
    </w:p>
    <w:p>
      <w:pPr>
        <w:spacing w:after="0" w:line="111" w:lineRule="exact"/>
        <w:rPr>
          <w:rFonts w:ascii="Arial" w:cs="Arial" w:eastAsia="Arial" w:hAnsi="Arial"/>
          <w:sz w:val="17"/>
          <w:szCs w:val="17"/>
          <w:i w:val="1"/>
          <w:iCs w:val="1"/>
          <w:color w:val="auto"/>
        </w:rPr>
      </w:pPr>
    </w:p>
    <w:p>
      <w:pPr>
        <w:ind w:left="660" w:right="580" w:hanging="328"/>
        <w:spacing w:after="0" w:line="277"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CooperSurgical. </w:t>
      </w:r>
      <w:r>
        <w:rPr>
          <w:rFonts w:ascii="Arial" w:cs="Arial" w:eastAsia="Arial" w:hAnsi="Arial"/>
          <w:sz w:val="18"/>
          <w:szCs w:val="18"/>
          <w:color w:val="auto"/>
        </w:rPr>
        <w:t>Competes in the general health care market with a focus on advancing the health of women, babies and families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diversified portfolio of products and services focusing on women's health and fertility.</w:t>
      </w:r>
    </w:p>
    <w:p>
      <w:pPr>
        <w:spacing w:after="0" w:line="11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uses operating income, as presented in our financial reports, as the primary measure of segment profitability. The Company does not allocate costs from corporate functions to segment operating income. Items below operating income are not considered when measuring the profitability of a segment. The Company uses the same accounting policies to generate segment results as the Company does for consolidated results.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Total identifiable assets are those used in continuing operations except cash and cash equivalents, which the Company includes as corporate assets.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ind w:right="632"/>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 net sales by category:</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Toric lens</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Multifocal lens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Single-use sphere lens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167.0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 single-use sphere, other</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CooperVision net sales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CooperSurgical net sales by category:</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Office and surgical products</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128.9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Fertility</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CooperSurgical net sales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CooperVision</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Arial" w:cs="Arial" w:eastAsia="Arial" w:hAnsi="Arial"/>
                <w:sz w:val="18"/>
                <w:szCs w:val="18"/>
                <w:color w:val="auto"/>
              </w:rPr>
              <w:t>CooperSurgical</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expense (income), net</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January 31, 2022</w:t>
            </w:r>
          </w:p>
        </w:tc>
        <w:tc>
          <w:tcPr>
            <w:tcW w:w="240" w:type="dxa"/>
            <w:vAlign w:val="bottom"/>
          </w:tcPr>
          <w:p>
            <w:pPr>
              <w:spacing w:after="0"/>
              <w:rPr>
                <w:sz w:val="24"/>
                <w:szCs w:val="24"/>
                <w:color w:val="auto"/>
              </w:rPr>
            </w:pPr>
          </w:p>
        </w:tc>
        <w:tc>
          <w:tcPr>
            <w:tcW w:w="156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October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identifiable assets: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6,918.8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6,965.9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Corporate</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Geographic information:</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4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to unaffiliated customers by country of domicile:</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United States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365.3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Europe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Rest of world</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January 31, 2022</w:t>
            </w:r>
          </w:p>
        </w:tc>
        <w:tc>
          <w:tcPr>
            <w:tcW w:w="240" w:type="dxa"/>
            <w:vAlign w:val="bottom"/>
          </w:tcPr>
          <w:p>
            <w:pPr>
              <w:spacing w:after="0"/>
              <w:rPr>
                <w:sz w:val="24"/>
                <w:szCs w:val="24"/>
                <w:color w:val="auto"/>
              </w:rPr>
            </w:pPr>
          </w:p>
        </w:tc>
        <w:tc>
          <w:tcPr>
            <w:tcW w:w="156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October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property, plant and equipment by country of domicile:</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United States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758.1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737.5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Europe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Rest of world</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Financial Derivatives and Hedging</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part of the Company’s overall risk management practices the Company enters into financial derivatives, interest rate swaps designated as cash flow hedges, to hedge the Company's exposure to changes in cash flows associated with its variable rate debt.</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records all derivatives on its Consolidated Condensed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All of the Company's derivatives have satisfied the criteria necessary to apply hedge accounting.</w:t>
      </w:r>
    </w:p>
    <w:p>
      <w:pPr>
        <w:spacing w:after="0" w:line="21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Condensed Balance Sheets for presentation purposes.</w:t>
      </w:r>
    </w:p>
    <w:p>
      <w:pPr>
        <w:spacing w:after="0" w:line="20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2022 and October 31, 2021, the Company had the following outstanding derivatives designated as hedging instruments: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for number of instruments)</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Number of Instruments</w:t>
            </w:r>
          </w:p>
        </w:tc>
        <w:tc>
          <w:tcPr>
            <w:tcW w:w="240" w:type="dxa"/>
            <w:vAlign w:val="bottom"/>
          </w:tcPr>
          <w:p>
            <w:pPr>
              <w:spacing w:after="0"/>
              <w:rPr>
                <w:sz w:val="14"/>
                <w:szCs w:val="14"/>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Notional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16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432"/>
        </w:trPr>
        <w:tc>
          <w:tcPr>
            <w:tcW w:w="7860" w:type="dxa"/>
            <w:vAlign w:val="bottom"/>
            <w:gridSpan w:val="3"/>
          </w:tcPr>
          <w:p>
            <w:pPr>
              <w:spacing w:after="0"/>
              <w:rPr>
                <w:sz w:val="20"/>
                <w:szCs w:val="20"/>
                <w:color w:val="auto"/>
              </w:rPr>
            </w:pPr>
            <w:r>
              <w:rPr>
                <w:rFonts w:ascii="Arial" w:cs="Arial" w:eastAsia="Arial" w:hAnsi="Arial"/>
                <w:sz w:val="18"/>
                <w:szCs w:val="18"/>
                <w:color w:val="auto"/>
              </w:rPr>
              <w:t>These contracts have remaining maturities of six years or less.</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pre-tax impact of gain on derivatives designated for hedge accounting recognized in other comprehensive income (loss)</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was $34.8 million ($26.4 million, net of tax) as of January 31, 2022. The pre-tax impact of loss on derivatives designated for hedge accounting recognized in other comprehensive income (loss) was $11.2 million ($8.5 million, net of tax) as of January 31, 2021.</w:t>
      </w:r>
    </w:p>
    <w:p>
      <w:pPr>
        <w:spacing w:after="0" w:line="19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fair values of derivative instruments as of the periods indicated and the line items in the accompanying Consolidated Condensed Balance Sheets where the instruments are recorded: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Derivative Assets</w:t>
            </w: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48"/>
        </w:trPr>
        <w:tc>
          <w:tcPr>
            <w:tcW w:w="20" w:type="dxa"/>
            <w:vAlign w:val="bottom"/>
          </w:tcPr>
          <w:p>
            <w:pPr>
              <w:spacing w:after="0"/>
              <w:rPr>
                <w:sz w:val="12"/>
                <w:szCs w:val="12"/>
                <w:color w:val="auto"/>
              </w:rPr>
            </w:pPr>
          </w:p>
        </w:tc>
        <w:tc>
          <w:tcPr>
            <w:tcW w:w="4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January 31, 2022</w:t>
            </w:r>
          </w:p>
        </w:tc>
        <w:tc>
          <w:tcPr>
            <w:tcW w:w="180" w:type="dxa"/>
            <w:vAlign w:val="bottom"/>
          </w:tcPr>
          <w:p>
            <w:pPr>
              <w:spacing w:after="0"/>
              <w:rPr>
                <w:sz w:val="12"/>
                <w:szCs w:val="12"/>
                <w:color w:val="auto"/>
              </w:rPr>
            </w:pPr>
          </w:p>
        </w:tc>
        <w:tc>
          <w:tcPr>
            <w:tcW w:w="140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w w:val="99"/>
              </w:rPr>
              <w:t>October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2620" w:type="dxa"/>
            <w:vAlign w:val="bottom"/>
            <w:tcBorders>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4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88"/>
              </w:rPr>
              <w:t>Balance sheet location</w:t>
            </w:r>
          </w:p>
        </w:tc>
        <w:tc>
          <w:tcPr>
            <w:tcW w:w="104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Interest rate swap contracts</w:t>
            </w:r>
          </w:p>
        </w:tc>
        <w:tc>
          <w:tcPr>
            <w:tcW w:w="2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recognized with respect to our derivative instruments within the accompanying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and Comprehensive Income: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1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6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440" w:type="dxa"/>
            <w:vAlign w:val="bottom"/>
            <w:shd w:val="clear" w:color="auto" w:fill="CCEEFF"/>
          </w:tcPr>
          <w:p>
            <w:pPr>
              <w:spacing w:after="0"/>
              <w:rPr>
                <w:sz w:val="12"/>
                <w:szCs w:val="12"/>
                <w:color w:val="auto"/>
              </w:rPr>
            </w:pPr>
          </w:p>
        </w:tc>
        <w:tc>
          <w:tcPr>
            <w:tcW w:w="39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Location of Loss Recognized on Derivatives</w:t>
            </w: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30"/>
        </w:trPr>
        <w:tc>
          <w:tcPr>
            <w:tcW w:w="20" w:type="dxa"/>
            <w:vAlign w:val="bottom"/>
            <w:tcBorders>
              <w:top w:val="single" w:sz="8" w:color="CCEEFF"/>
            </w:tcBorders>
          </w:tcPr>
          <w:p>
            <w:pPr>
              <w:spacing w:after="0"/>
              <w:rPr>
                <w:sz w:val="20"/>
                <w:szCs w:val="20"/>
                <w:color w:val="auto"/>
              </w:rPr>
            </w:pPr>
          </w:p>
        </w:tc>
        <w:tc>
          <w:tcPr>
            <w:tcW w:w="2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Interest rate swap contracts</w:t>
            </w:r>
          </w:p>
        </w:tc>
        <w:tc>
          <w:tcPr>
            <w:tcW w:w="1440" w:type="dxa"/>
            <w:vAlign w:val="bottom"/>
            <w:tcBorders>
              <w:top w:val="single" w:sz="8" w:color="CCEEFF"/>
            </w:tcBorders>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expects that $0.5 million recorded as a component of accumulated other comprehensive income (loss) will be realized in the Consolidated Statements of Income and Comprehensive Income over the next twelve months and the amount will vary depending on prevailing interest rates.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accumulated other comprehensive income: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160" w:type="dxa"/>
            <w:vAlign w:val="bottom"/>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9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gain as of October 31, 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Amount recognized in other comprehensive income on interest rate swap contracts, gross ($11.9, net of tax)</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2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reclassified from other comprehensive income into earnings, gross ($1.4,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Ending balance gain as of January 31, 2022</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Subsequent Events</w:t>
      </w:r>
    </w:p>
    <w:p>
      <w:pPr>
        <w:spacing w:after="0" w:line="256"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On February 7, 2022, subsequent to the fiscal quarter ended January 31, 2022, CooperSurgical entered into a binding letter of intent to acquire Cook Medical's Reproductive Health business, a manufacturer of minimally invasive medical devices focused on the fertility, obstetrics and gynecology markets.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consideration is $875.0 million in cash, with $675.0 million payable at the closing and the remaining $200.0 million payable in</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$50.0 million installments following each of the first, second, third and fourth anniversaries of the closing. The transaction is subject to customary closing conditions, including entry into a definitive acquisition agreement and regulatory approvals, and compliance with certain local employee consultation requirements.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Unaudited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the expected impact of the ongoing Coronavirus disease 2019 (COVID-19) pandemic on our business;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net sales,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5" w:lineRule="exact"/>
        <w:rPr>
          <w:sz w:val="20"/>
          <w:szCs w:val="20"/>
          <w:color w:val="auto"/>
        </w:rPr>
      </w:pPr>
    </w:p>
    <w:p>
      <w:pPr>
        <w:ind w:left="660" w:right="160" w:hanging="652"/>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effects of the ongoing COVID-19 pandemic and related economic disruptions and new governmental regulations on our business, results of operations, cash flow and financial condition, including but not limited to the potential impact on our sales, operations and supply chain.</w:t>
      </w:r>
    </w:p>
    <w:p>
      <w:pPr>
        <w:spacing w:after="0" w:line="69" w:lineRule="exact"/>
        <w:rPr>
          <w:rFonts w:ascii="Arial" w:cs="Arial" w:eastAsia="Arial" w:hAnsi="Arial"/>
          <w:sz w:val="16"/>
          <w:szCs w:val="16"/>
          <w:color w:val="auto"/>
        </w:rPr>
      </w:pPr>
    </w:p>
    <w:p>
      <w:pPr>
        <w:ind w:left="660" w:right="40" w:hanging="652"/>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ongoing COVID-19 pandemic, inflation and escalating global trade barriers, including additional tariffs, by countries such as China.</w:t>
      </w:r>
    </w:p>
    <w:p>
      <w:pPr>
        <w:spacing w:after="0" w:line="132" w:lineRule="exact"/>
        <w:rPr>
          <w:rFonts w:ascii="Arial" w:cs="Arial" w:eastAsia="Arial" w:hAnsi="Arial"/>
          <w:sz w:val="18"/>
          <w:szCs w:val="18"/>
          <w:color w:val="auto"/>
        </w:rPr>
      </w:pPr>
    </w:p>
    <w:p>
      <w:pPr>
        <w:ind w:left="660" w:right="80" w:hanging="652"/>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or their interpretation, changes in statutory tax rates, and adverse outcomes in tax disputes including but not limited to, the United States (U.S.), the United Kingdom (UK) and other countries may affect our taxation of earnings recognized in foreign jurisdictions, result in unexpected tax liabilities, and/or negatively impact our effective tax rate.</w:t>
      </w:r>
    </w:p>
    <w:p>
      <w:pPr>
        <w:spacing w:after="0" w:line="129" w:lineRule="exact"/>
        <w:rPr>
          <w:rFonts w:ascii="Arial" w:cs="Arial" w:eastAsia="Arial" w:hAnsi="Arial"/>
          <w:sz w:val="18"/>
          <w:szCs w:val="18"/>
          <w:color w:val="auto"/>
        </w:rPr>
      </w:pPr>
    </w:p>
    <w:p>
      <w:pPr>
        <w:ind w:left="660" w:right="20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net sales and earnings.</w:t>
      </w:r>
    </w:p>
    <w:p>
      <w:pPr>
        <w:spacing w:after="0" w:line="116" w:lineRule="exact"/>
        <w:rPr>
          <w:rFonts w:ascii="Arial" w:cs="Arial" w:eastAsia="Arial" w:hAnsi="Arial"/>
          <w:sz w:val="18"/>
          <w:szCs w:val="18"/>
          <w:color w:val="auto"/>
        </w:rPr>
      </w:pPr>
    </w:p>
    <w:p>
      <w:pPr>
        <w:ind w:left="660" w:right="100" w:hanging="652"/>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and future variable rate indebtedness and associated interest expense is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right="20" w:hanging="652"/>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8" w:lineRule="exact"/>
        <w:rPr>
          <w:rFonts w:ascii="Arial" w:cs="Arial" w:eastAsia="Arial" w:hAnsi="Arial"/>
          <w:sz w:val="18"/>
          <w:szCs w:val="18"/>
          <w:color w:val="auto"/>
        </w:rPr>
      </w:pPr>
    </w:p>
    <w:p>
      <w:pPr>
        <w:jc w:val="both"/>
        <w:ind w:left="660" w:right="180" w:hanging="652"/>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global political and economic conditions, and related uncertainty caused by the UK’s withdrawal from the European Union (EU) and its potential impact on, among other things, the movement of goods and materials in our supply chain, additional regulatory approvals and requirements, and increased tariffs and duties.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00" w:right="39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right="80" w:hanging="652"/>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personal information, such as HIPAA and the California Consumer Privacy Act (CCPA) in the U.S. and the General Data Protection Regulation requirements in Europe, including but not limited to those resulting from data security breaches.</w:t>
      </w:r>
    </w:p>
    <w:p>
      <w:pPr>
        <w:spacing w:after="0" w:line="129" w:lineRule="exact"/>
        <w:rPr>
          <w:rFonts w:ascii="Arial" w:cs="Arial" w:eastAsia="Arial" w:hAnsi="Arial"/>
          <w:sz w:val="18"/>
          <w:szCs w:val="18"/>
          <w:color w:val="auto"/>
        </w:rPr>
      </w:pPr>
    </w:p>
    <w:p>
      <w:pPr>
        <w:ind w:left="660" w:right="80" w:hanging="652"/>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the ongoing COVID-19 pandemic, integration of acquisitions, man-made or natural disasters, cybersecurity incidents or other causes.</w:t>
      </w:r>
    </w:p>
    <w:p>
      <w:pPr>
        <w:spacing w:after="0" w:line="129" w:lineRule="exact"/>
        <w:rPr>
          <w:rFonts w:ascii="Arial" w:cs="Arial" w:eastAsia="Arial" w:hAnsi="Arial"/>
          <w:sz w:val="18"/>
          <w:szCs w:val="18"/>
          <w:color w:val="auto"/>
        </w:rPr>
      </w:pPr>
    </w:p>
    <w:p>
      <w:pPr>
        <w:ind w:left="660" w:right="120" w:hanging="652"/>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9" w:lineRule="exact"/>
        <w:rPr>
          <w:rFonts w:ascii="Arial" w:cs="Arial" w:eastAsia="Arial" w:hAnsi="Arial"/>
          <w:sz w:val="18"/>
          <w:szCs w:val="18"/>
          <w:color w:val="auto"/>
        </w:rPr>
      </w:pPr>
    </w:p>
    <w:p>
      <w:pPr>
        <w:ind w:left="660" w:right="100" w:hanging="652"/>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consolidation of large customers globally through mergers or acquisitions resulting in a larger proportion or concentration of our business being derived from fewer customers.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ind w:left="660" w:hanging="652"/>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and the EU In Vitro Diagnostic Medical Devices Regulation.</w:t>
      </w:r>
    </w:p>
    <w:p>
      <w:pPr>
        <w:spacing w:after="0" w:line="132" w:lineRule="exact"/>
        <w:rPr>
          <w:rFonts w:ascii="Arial" w:cs="Arial" w:eastAsia="Arial" w:hAnsi="Arial"/>
          <w:sz w:val="18"/>
          <w:szCs w:val="18"/>
          <w:color w:val="auto"/>
        </w:rPr>
      </w:pPr>
    </w:p>
    <w:p>
      <w:pPr>
        <w:ind w:left="660" w:right="560" w:hanging="652"/>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360" w:hanging="652"/>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receive, or delays in receiving, regulatory approvals or certifications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of our customers and end users to obtain adequate coverage and reimbursement from third-party payors for our products and services.</w:t>
      </w:r>
    </w:p>
    <w:p>
      <w:pPr>
        <w:spacing w:after="0" w:line="194" w:lineRule="exact"/>
        <w:rPr>
          <w:rFonts w:ascii="Arial" w:cs="Arial" w:eastAsia="Arial" w:hAnsi="Arial"/>
          <w:sz w:val="16"/>
          <w:szCs w:val="16"/>
          <w:color w:val="auto"/>
        </w:rPr>
      </w:pPr>
    </w:p>
    <w:p>
      <w:pPr>
        <w:ind w:left="660" w:right="320" w:hanging="652"/>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 and costs incurred from changes in accounting standards and policies.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risks, including increasing environmental legislation and the broader impacts of climate change.</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Risks related to environmental, social and corporate governance (ESG) issues, including those related to climate change and sustainability.</w:t>
      </w:r>
    </w:p>
    <w:p>
      <w:pPr>
        <w:spacing w:after="0" w:line="182" w:lineRule="exact"/>
        <w:rPr>
          <w:rFonts w:ascii="Arial" w:cs="Arial" w:eastAsia="Arial" w:hAnsi="Arial"/>
          <w:sz w:val="17"/>
          <w:szCs w:val="17"/>
          <w:color w:val="auto"/>
        </w:rPr>
      </w:pPr>
    </w:p>
    <w:p>
      <w:pPr>
        <w:ind w:left="660" w:right="40" w:hanging="652"/>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events described in our Securities and Exchange Commission filings, including the “Business” and “Risk Factors” sections in our Annual Report on Form 10-K for the fiscal year ended October 31, 2021, as such Risk Factors may be updated in quarterly filings including updates made in this filing.</w:t>
      </w:r>
    </w:p>
    <w:p>
      <w:pPr>
        <w:spacing w:after="0" w:line="1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25" w:name="page26"/>
    <w:bookmarkEnd w:id="2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this section, we discuss the results of our operations for the first quarter of fiscal 2022 ended January 31, 2022 and compare them with the same period of fiscal 2021.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succeeding sections of Management’s Discussion and Analysis (MD&amp;A) may include certain financial measures that are not defined by accounting principles generally accepted in the United States (GAAP). These measures, which are referred to as non-GAAP measures, are listed below:</w:t>
      </w:r>
    </w:p>
    <w:p>
      <w:pPr>
        <w:spacing w:after="0" w:line="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Free cash flow is calculated as net cash provided by operating activities less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Constant currency </w:t>
      </w:r>
      <w:r>
        <w:rPr>
          <w:rFonts w:ascii="Arial" w:cs="Arial" w:eastAsia="Arial" w:hAnsi="Arial"/>
          <w:sz w:val="18"/>
          <w:szCs w:val="18"/>
          <w:color w:val="auto"/>
        </w:rPr>
        <w:t>- Constant currency is defined as excluding the effect of foreign currency fluctuations.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a discussion of these measures and the reasons management believes they are useful to investors, refer to “Summary of Non-GAAP Financial Measures” below. To the extent applicable, this MD&amp;A includes reconciliations of these non-GAAP measures to the most directly comparable financial measures calculated and presented in accordance with GAAP.</w:t>
      </w:r>
    </w:p>
    <w:p>
      <w:pPr>
        <w:spacing w:after="0" w:line="211"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presentation of these non-GAAP financial measures is not intended to be a substitute for, or superior to, the financial information prepared and presented in accordance with GAAP and may be different from non-GAAP financial measures used by other companies, and therefore, may not be comparable among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World Health Organization categorized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continue to have, an adverse effect on our sales, operating results and cash flows.</w:t>
      </w:r>
    </w:p>
    <w:p>
      <w:pPr>
        <w:spacing w:after="0" w:line="20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taken an active role in addressing the ongoing pandemic’s impact on our employees, suppliers, distribution channels, operations and customers, including taking precautionary measures, such as implementing contingency plans, and making operational adjustments as necessary. We have taken measures to help ensure the safety of our personnel in all our facilities, and we have endeavored and continue to follow recommended actions of government and health authorities to protect our employees worldwide.</w:t>
      </w: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the date of this filing, we have not experienced any significant disruption at our manufacturing facilities. We have had no significant disruption in our access to necessary raw materials and other supplies or with our distribution network; however, we have experienced higher unabsorbed fixed overhead costs, labor inefficiencies, higher cost of production and higher freight charges as a result of the COVID-19 pandemic. Our manufacturing and distribution operations have responded to the impacts related to the COVID-19 pandemic, and we have been able to continue to supply our products around the world without interruption. In the future, we may decide or need to implement additional precautionary measures or operational adjustments as we deem prudent to meet consumer demand or to help further ensure employee safety. We believe that the actions we are taking have enabled us to keep our employees safe and our supply chain intact and will help us emerge from this global pandemic operationally sound and well positioned for long-term growth.</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extent to which the global COVID-19 pandemic and related economic disruptions impact our business, results of operations, cash flow and financial condition will depend on future developments. At this time, future developments are highly uncertain, difficult to predict and largely outside of our control. These include, but are not limited to, the spread, duration and severity of the pandemic outbreak and any subsequent waves of additional outbreaks, including the emergence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spread of variants of the COVID-19 virus, actions taken by governments to contain the pandemic, address its impact or respond to the reduction in global and local economic activity, and how quickly and to what extent normal economic and operating conditions can resume. We will continue to closely monitor the developments relating to the COVID-19 pandemic and the responses from governments and private sector participants and their respective impact on our Company and on our customers, suppliers, vendors and business partners.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risks associated with the COVID-19 pandemic, refer to Part II, Item 1A, "Risk Factors"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168910</wp:posOffset>
            </wp:positionV>
            <wp:extent cx="2846070" cy="2417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7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of $518.4 million, up 15% from $450.7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of $130.8 million, down 2% from $133.4 million in the prior year period</w:t>
      </w:r>
    </w:p>
    <w:p>
      <w:pPr>
        <w:spacing w:after="0" w:line="171" w:lineRule="exact"/>
        <w:rPr>
          <w:rFonts w:ascii="Arial" w:cs="Arial" w:eastAsia="Arial" w:hAnsi="Arial"/>
          <w:sz w:val="18"/>
          <w:szCs w:val="18"/>
          <w:color w:val="auto"/>
        </w:rPr>
      </w:pPr>
    </w:p>
    <w:p>
      <w:pPr>
        <w:ind w:left="660" w:hanging="652"/>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Diluted earnings per share of $1.91, down 95% from $42.31 per share in the prior year period, primarily due to the income tax benefit related to an intra-group transfer of intellectual property in the prior year period. Refer to Note 6. Income Taxes for further information.</w:t>
      </w:r>
    </w:p>
    <w:p>
      <w:pPr>
        <w:spacing w:after="0" w:line="92" w:lineRule="exact"/>
        <w:rPr>
          <w:rFonts w:ascii="Arial" w:cs="Arial" w:eastAsia="Arial" w:hAnsi="Arial"/>
          <w:sz w:val="17"/>
          <w:szCs w:val="17"/>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provided by operations of $166.0 million, compared to $147.7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Overall, we remain optimistic about the long-term prospects for the worldwide contact lens and general health care markets. However, the impact, risks and uncertainty relating to the global COVID-19 pandemic and related economic disruptions, as further described in the “COVID-19 Considerations” section above and in the “Risk Factors” section in Part II, Item 1A of this filing, have adversely affected our sales, cash flow and current performance and are likely to further adversely affect our future sales, cash flow and performance. Additionally, other events affecting the economy as a whole, including but not limited to the uncertainty and instability of global markets driven by foreign currency volatility, inflation, changes in tax laws, debt concerns, the uncertainty following the UK's withdrawal from the EU, changes to existing and new regulations, global trade barriers including additional tariffs and the trend of consolidations within the health care industry could impact our current performance and continue to represent a risk to our future performance.</w:t>
      </w:r>
    </w:p>
    <w:p>
      <w:pPr>
        <w:spacing w:after="0" w:line="11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i w:val="1"/>
          <w:iCs w:val="1"/>
          <w:color w:val="auto"/>
        </w:rPr>
        <w:t xml:space="preserve">CooperVision </w:t>
      </w:r>
      <w:r>
        <w:rPr>
          <w:rFonts w:ascii="Arial" w:cs="Arial" w:eastAsia="Arial" w:hAnsi="Arial"/>
          <w:sz w:val="17"/>
          <w:szCs w:val="17"/>
          <w:color w:val="auto"/>
        </w:rPr>
        <w:t>- We compete in the worldwide contact lens market with our spherical, toric, multifocal, toric multifocal and myopia management contact</w:t>
      </w:r>
      <w:r>
        <w:rPr>
          <w:rFonts w:ascii="Arial" w:cs="Arial" w:eastAsia="Arial" w:hAnsi="Arial"/>
          <w:sz w:val="17"/>
          <w:szCs w:val="17"/>
          <w:i w:val="1"/>
          <w:iCs w:val="1"/>
          <w:color w:val="auto"/>
        </w:rPr>
        <w:t xml:space="preserve"> </w:t>
      </w:r>
      <w:r>
        <w:rPr>
          <w:rFonts w:ascii="Arial" w:cs="Arial" w:eastAsia="Arial" w:hAnsi="Arial"/>
          <w:sz w:val="17"/>
          <w:szCs w:val="17"/>
          <w:color w:val="auto"/>
        </w:rPr>
        <w:t>lenses offered in a variety of materials including using silicone hydrogel Aquaform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PC Technology™ and ActivControl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markets with products such as orthokeratology (ortho-k) and scleral lenses. In November 2019, CooperVision received United States Food and Drug Administration (FDA) approval for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6" w:lineRule="exact"/>
        <w:rPr>
          <w:sz w:val="20"/>
          <w:szCs w:val="20"/>
          <w:color w:val="auto"/>
        </w:rPr>
      </w:pPr>
    </w:p>
    <w:p>
      <w:pPr>
        <w:jc w:val="both"/>
        <w:ind w:right="80"/>
        <w:spacing w:after="0" w:line="280" w:lineRule="auto"/>
        <w:rPr>
          <w:sz w:val="20"/>
          <w:szCs w:val="20"/>
          <w:color w:val="auto"/>
        </w:rPr>
      </w:pPr>
      <w:r>
        <w:rPr>
          <w:rFonts w:ascii="Arial" w:cs="Arial" w:eastAsia="Arial" w:hAnsi="Arial"/>
          <w:sz w:val="16"/>
          <w:szCs w:val="16"/>
          <w:color w:val="auto"/>
        </w:rPr>
        <w:t>its MiSight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1 day lens, which is the first and only FDA-approved product indicated to slow the progression of myopia in children with treatment initiated between the ages of 8-12 and became available in the United States during fiscal 2020. In August 2021, CooperVision received Chinese National Medical Products Administration (NMPA) approval for its MiSight 1 day lens for use in China. CooperVision is focused on greater worldwide market penetration using recently introduced products, and we continue to expand our presence in existing and emerging markets, including through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entity during the three months ended January 31, 2021:</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privately-held medical device company on January 19, 2021</w:t>
      </w:r>
    </w:p>
    <w:p>
      <w:pPr>
        <w:spacing w:after="0" w:line="17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MyDay</w:t>
      </w:r>
      <w:r>
        <w:rPr>
          <w:rFonts w:ascii="Arial" w:cs="Arial" w:eastAsia="Arial" w:hAnsi="Arial"/>
          <w:sz w:val="22"/>
          <w:szCs w:val="22"/>
          <w:color w:val="auto"/>
          <w:vertAlign w:val="superscript"/>
        </w:rPr>
        <w:t>®</w:t>
      </w:r>
      <w:r>
        <w:rPr>
          <w:rFonts w:ascii="Arial" w:cs="Arial" w:eastAsia="Arial" w:hAnsi="Arial"/>
          <w:sz w:val="17"/>
          <w:szCs w:val="17"/>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Avaira Vitality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which helps individuals with digital eye fatigue.</w:t>
      </w:r>
    </w:p>
    <w:p>
      <w:pPr>
        <w:spacing w:after="0" w:line="73"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i w:val="1"/>
          <w:iCs w:val="1"/>
          <w:color w:val="auto"/>
        </w:rPr>
        <w:t xml:space="preserve">CooperSurgical - </w:t>
      </w:r>
      <w:r>
        <w:rPr>
          <w:rFonts w:ascii="Arial" w:cs="Arial" w:eastAsia="Arial" w:hAnsi="Arial"/>
          <w:sz w:val="16"/>
          <w:szCs w:val="16"/>
          <w:color w:val="auto"/>
        </w:rPr>
        <w:t>Our CooperSurgical business competes in the general health care market with a commitment to advancing the health of women, babies</w:t>
      </w:r>
      <w:r>
        <w:rPr>
          <w:rFonts w:ascii="Arial" w:cs="Arial" w:eastAsia="Arial" w:hAnsi="Arial"/>
          <w:sz w:val="16"/>
          <w:szCs w:val="16"/>
          <w:i w:val="1"/>
          <w:iCs w:val="1"/>
          <w:color w:val="auto"/>
        </w:rPr>
        <w:t xml:space="preserve"> </w:t>
      </w:r>
      <w:r>
        <w:rPr>
          <w:rFonts w:ascii="Arial" w:cs="Arial" w:eastAsia="Arial" w:hAnsi="Arial"/>
          <w:sz w:val="16"/>
          <w:szCs w:val="16"/>
          <w:color w:val="auto"/>
        </w:rPr>
        <w:t>and families through its diversified portfolio of products and services focusing on women's health and fertility. CooperSurgical has established its market presence and distribution system by developing products and acquiring companies, products and services that complement its business model.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entity during the three months ended January 31, 2022:</w:t>
      </w:r>
    </w:p>
    <w:p>
      <w:pPr>
        <w:spacing w:after="0" w:line="171" w:lineRule="exact"/>
        <w:rPr>
          <w:sz w:val="20"/>
          <w:szCs w:val="20"/>
          <w:color w:val="auto"/>
        </w:rPr>
      </w:pPr>
    </w:p>
    <w:p>
      <w:pPr>
        <w:ind w:left="660" w:right="380" w:hanging="328"/>
        <w:spacing w:after="0" w:line="277"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Generate Life Sciences (Generate), a privately held leading provider of donor egg and sperm for fertility treatments, fertility cryopreservation services and newborn stem cell storage (cord blood &amp; cord tissue), on December 17,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entity during the three months ended January 31, 2021:</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privately-held in vitro fertilization (IVF) cryo-storage software solutions company on December 31, 2020</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 February 7, 2022, subsequent to the fiscal quarter ended January 31, 2022, CooperSurgical entered into a binding letter of intent to acquire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Reproductive Health business of Cook Medical, a manufacturer of minimally invasive medical devices focused on the fertility, obstetrics and gynecology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markets. The aggregate consideration is $875.0 million in cash, with $675.0 million payable at the closing and the remaining $200.0 million payable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installments following each of the first, second, third and fourth anniversaries of the closing. The transaction is subject to customary closing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conditions, including entry into a definitive acquisition agreement and regulatory approvals, and compliance with certain local employee consultation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requirements. See Note 15. Subsequent Events of the Consolidated Condensed Financial Statements for additional information.</w:t>
      </w:r>
    </w:p>
    <w:p>
      <w:pPr>
        <w:spacing w:after="0" w:line="23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i w:val="1"/>
          <w:iCs w:val="1"/>
          <w:color w:val="auto"/>
        </w:rPr>
        <w:t xml:space="preserve">Capital Resources - </w:t>
      </w:r>
      <w:r>
        <w:rPr>
          <w:rFonts w:ascii="Arial" w:cs="Arial" w:eastAsia="Arial" w:hAnsi="Arial"/>
          <w:sz w:val="17"/>
          <w:szCs w:val="17"/>
          <w:color w:val="auto"/>
        </w:rPr>
        <w:t>At January 31, 2022, we had $280.7 million in unrestricted cash, primarily held in the United States, and $1,288.6 million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2020 Revolving Credit Facility. The $1.5 billion term loan entered into on December 17, 2021, the $840.0 million term loan entered into on November 2, 2021, and the $850.0 million term loan entered into on April 1, 2020 remain outstanding as of January 31,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February 2, 2021, CooperVision entered into a stock purchase agreement to sell 50% of the equity interest in a wholly-owned subsidiary that was acquired by CooperVision on January 19, 2021. The closing of this transaction is subject to certain closing conditions including required regulatory approvals. We intend to operate the previously wholly-owned subsidiary as a joint venture with the purchaser of the 50% interest once the transaction is closed. We concluded the substantive terms of the joint venture during the third quarter of fiscal 2021, and as of July 31, 2021, the assets and liabilities of this disposal group were reclassified as held for sale. On August 1, 2021, CooperVision entered into a stockholders agreement, which outlines the terms regarding the operation and management of the joint venture. As of January 31, 2022,</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were in the process of finalizing the joint venture related ancillary agreements, and the disposal group continues to be classified as held for sale. We did not record any impairment during the three months ended January 31, 2022 and fiscal 2021, and this disposal did not qualify as a discontinued operation.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See Note 2. Acquisitions and Assets Held for Sale of the Consolidated Condensed Financial Statements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from LIBOR</w:t>
      </w:r>
    </w:p>
    <w:p>
      <w:pPr>
        <w:spacing w:after="0" w:line="243"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 xml:space="preserve">The UK’s Financial Conduct Authority, which regulates the London Interbank Offered Rate (LIBOR), announced in July 2017 that it will no longer persuade or require banks to submit rates for LIBOR after 2021. In March 2021, the FCA confirmed its intention to stop requiring banks to submit rates required to calculate LIBOR after 2021. However, for U.S. dollar-denominated (USD) LIBOR, only one-week and two-month USD LIBOR will cease to be published after 2021, and all remaining USD LIBOR tenors will continue being published until June 2023. Further, in March 2020, the Financial Accounting Standards Board (FASB) issued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848</w:t>
      </w:r>
      <w:r>
        <w:rPr>
          <w:rFonts w:ascii="Arial" w:cs="Arial" w:eastAsia="Arial" w:hAnsi="Arial"/>
          <w:sz w:val="17"/>
          <w:szCs w:val="17"/>
          <w:color w:val="auto"/>
        </w:rPr>
        <w:t xml:space="preserve">): </w:t>
      </w:r>
      <w:r>
        <w:rPr>
          <w:rFonts w:ascii="Arial" w:cs="Arial" w:eastAsia="Arial" w:hAnsi="Arial"/>
          <w:sz w:val="17"/>
          <w:szCs w:val="17"/>
          <w:i w:val="1"/>
          <w:iCs w:val="1"/>
          <w:color w:val="auto"/>
        </w:rPr>
        <w:t>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This guidance provides optional expedients and exceptions for applying GAAP to contracts, hedging relationships,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affected by reference rate reform if certain criteria are met. We have material contracts that are indexed to LIBOR and are continuing to monitor this activity and evaluate the related risk.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do not expect a material impact on our financial statements related to this transition.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Net Sales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Percentage of Net Sales</w:t>
            </w: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2"/>
              </w:rPr>
              <w:t>2022 vs 2021 % Change in</w:t>
            </w: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Periods Ended January 31,</w:t>
            </w:r>
          </w:p>
        </w:tc>
        <w:tc>
          <w:tcPr>
            <w:tcW w:w="5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2022</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Absolute Values</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5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34 %</w:t>
            </w:r>
          </w:p>
        </w:tc>
        <w:tc>
          <w:tcPr>
            <w:tcW w:w="23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66 %</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38 %</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3 %</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Amortization of intangibles</w:t>
            </w:r>
          </w:p>
        </w:tc>
        <w:tc>
          <w:tcPr>
            <w:tcW w:w="5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5 %</w:t>
            </w:r>
          </w:p>
        </w:tc>
        <w:tc>
          <w:tcPr>
            <w:tcW w:w="23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w:t>
            </w:r>
          </w:p>
        </w:tc>
        <w:tc>
          <w:tcPr>
            <w:tcW w:w="2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Net Sales Growth by Business Unit</w:t>
            </w:r>
          </w:p>
        </w:tc>
        <w:tc>
          <w:tcPr>
            <w:tcW w:w="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56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Periods Ended January 31,</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520" w:type="dxa"/>
            <w:vAlign w:val="bottom"/>
          </w:tcPr>
          <w:p>
            <w:pPr>
              <w:spacing w:after="0"/>
              <w:rPr>
                <w:sz w:val="13"/>
                <w:szCs w:val="13"/>
                <w:color w:val="auto"/>
              </w:rPr>
            </w:pPr>
          </w:p>
        </w:tc>
        <w:tc>
          <w:tcPr>
            <w:tcW w:w="780" w:type="dxa"/>
            <w:vAlign w:val="bottom"/>
          </w:tcPr>
          <w:p>
            <w:pPr>
              <w:jc w:val="right"/>
              <w:ind w:right="39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2"/>
              </w:rPr>
              <w:t>2022 vs 2021 %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4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 and</w:t>
      </w:r>
    </w:p>
    <w:p>
      <w:pPr>
        <w:spacing w:after="0" w:line="171" w:lineRule="exact"/>
        <w:rPr>
          <w:rFonts w:ascii="Arial" w:cs="Arial" w:eastAsia="Arial" w:hAnsi="Arial"/>
          <w:sz w:val="18"/>
          <w:szCs w:val="18"/>
          <w:color w:val="auto"/>
        </w:rPr>
      </w:pPr>
    </w:p>
    <w:p>
      <w:pPr>
        <w:ind w:left="340" w:right="520" w:hanging="332"/>
        <w:spacing w:after="0" w:line="342"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wp:posOffset>
            </wp:positionV>
            <wp:extent cx="5143500" cy="257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Toric </w:t>
      </w:r>
      <w:r>
        <w:rPr>
          <w:rFonts w:ascii="Arial" w:cs="Arial" w:eastAsia="Arial" w:hAnsi="Arial"/>
          <w:sz w:val="18"/>
          <w:szCs w:val="18"/>
          <w:color w:val="auto"/>
        </w:rPr>
        <w:t>– Toric lenses include Biofinity toric, MyDay toric, clariti 1 day toric, Biomedics toric, Proclear toric and Avaira Vitality toric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Multifocal </w:t>
      </w:r>
      <w:r>
        <w:rPr>
          <w:rFonts w:ascii="Arial" w:cs="Arial" w:eastAsia="Arial" w:hAnsi="Arial"/>
          <w:sz w:val="17"/>
          <w:szCs w:val="17"/>
          <w:color w:val="auto"/>
        </w:rPr>
        <w:t>– Multifocal lenses include Biofinity multifocal, Biofinity toric multifocal, clariti 1 day multifocal, MyDay multifocal and Proclear 1 day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multifocal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Single-use spheres </w:t>
      </w:r>
      <w:r>
        <w:rPr>
          <w:rFonts w:ascii="Arial" w:cs="Arial" w:eastAsia="Arial" w:hAnsi="Arial"/>
          <w:sz w:val="18"/>
          <w:szCs w:val="18"/>
          <w:color w:val="auto"/>
        </w:rPr>
        <w:t>– Our single-use lens portfolio includes clariti 1 day, MyDay, MiSight, Proclear 1 day and Biomedics 1 day</w:t>
      </w:r>
    </w:p>
    <w:p>
      <w:pPr>
        <w:spacing w:after="0" w:line="9"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color w:val="auto"/>
        </w:rPr>
        <w:t xml:space="preserve">Non single-use sphere, other </w:t>
      </w:r>
      <w:r>
        <w:rPr>
          <w:rFonts w:ascii="Arial" w:cs="Arial" w:eastAsia="Arial" w:hAnsi="Arial"/>
          <w:sz w:val="18"/>
          <w:szCs w:val="18"/>
          <w:color w:val="auto"/>
        </w:rPr>
        <w:t>– Our FRP (frequent replacement product) lens portfolio and other include Biofinity, Biofinity Energys, Avaira Vitality,</w:t>
      </w:r>
      <w:r>
        <w:rPr>
          <w:rFonts w:ascii="Arial" w:cs="Arial" w:eastAsia="Arial" w:hAnsi="Arial"/>
          <w:sz w:val="18"/>
          <w:szCs w:val="18"/>
          <w:b w:val="1"/>
          <w:bCs w:val="1"/>
          <w:color w:val="auto"/>
        </w:rPr>
        <w:t xml:space="preserve"> </w:t>
      </w:r>
      <w:r>
        <w:rPr>
          <w:rFonts w:ascii="Arial" w:cs="Arial" w:eastAsia="Arial" w:hAnsi="Arial"/>
          <w:sz w:val="18"/>
          <w:szCs w:val="18"/>
          <w:color w:val="auto"/>
        </w:rPr>
        <w:t>Biomedics, Proclear, clariti, ortho-k, scleral and custom lens, solutions and other</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4"/>
                <w:szCs w:val="14"/>
                <w:color w:val="auto"/>
              </w:rPr>
            </w:pPr>
          </w:p>
        </w:tc>
        <w:tc>
          <w:tcPr>
            <w:tcW w:w="136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vMerge w:val="restart"/>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2022 vs 2021 %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Toric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Multifocal</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57.7</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Single-use spheres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 single-use sphere, 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2022:</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Toric and multifocal lenses grew primarily through the success of Biofinity and MyDay.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Single-use sphere lenses growth was primarily driven by MyDay, clariti and MiSight lenses.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 single-use sphere lenses growth was primarily driven by Biofinity and ortho-k lenses.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products primarily include lens care which represented approximately 1% and 2% of net sales in the first quarter of fiscal 2022 and 2021, respectively.</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silicone hydrogel products increased by 12%, representing 78% of net sales in the three months ended January 31, 2022 compared to 77% in the three months ended January 31, 2021.</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exchange rates negatively impacted sales by approximately $16.4 million in the first quarter of fiscal 2022 and had a positive impact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$14.8 million in the prior year period. In the first quarter of fiscal 2022, net sales increased by 14% in constant currency over the prior year period.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right="42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Sales growth was primarily driven by an increase in the volume of lenses sold across our core portfolio due to a recovery in demand from the impact of the COVID-19 pandemic. Average realized prices by product did not materially influence sales growth.</w:t>
      </w:r>
    </w:p>
    <w:p>
      <w:pPr>
        <w:spacing w:after="0" w:line="92" w:lineRule="exact"/>
        <w:rPr>
          <w:rFonts w:ascii="Arial" w:cs="Arial" w:eastAsia="Arial" w:hAnsi="Arial"/>
          <w:sz w:val="17"/>
          <w:szCs w:val="17"/>
          <w:color w:val="auto"/>
        </w:rPr>
      </w:pPr>
    </w:p>
    <w:p>
      <w:pPr>
        <w:ind w:left="660" w:right="3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expect to continue seeing downward pressure and volatility in certain markets related to net sales if the COVID-19 pandemic continues, as optical retailers and healthcare centers continue to restrict access, and social distancing measures continue.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in three primary regions: the Americas, EMEA (Europe, Middle East and Africa) and Asia Pacific.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61"/>
        </w:trPr>
        <w:tc>
          <w:tcPr>
            <w:tcW w:w="2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13"/>
                <w:szCs w:val="13"/>
                <w:color w:val="auto"/>
              </w:rPr>
            </w:pPr>
          </w:p>
        </w:tc>
        <w:tc>
          <w:tcPr>
            <w:tcW w:w="1360" w:type="dxa"/>
            <w:vAlign w:val="bottom"/>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22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 vs 2021 %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EMEA</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188.8</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CooperVision's growth in net sales across all regions was primarily attributable to market gains of silicone hydrogel contact lenses. Refer to CooperVision Net Sales by Category above for further discussion.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117475</wp:posOffset>
            </wp:positionV>
            <wp:extent cx="5143500" cy="257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b w:val="1"/>
          <w:bCs w:val="1"/>
          <w:color w:val="auto"/>
        </w:rPr>
        <w:t xml:space="preserve">Office/Surgical </w:t>
      </w:r>
      <w:r>
        <w:rPr>
          <w:rFonts w:ascii="Arial" w:cs="Arial" w:eastAsia="Arial" w:hAnsi="Arial"/>
          <w:sz w:val="17"/>
          <w:szCs w:val="17"/>
          <w:color w:val="auto"/>
        </w:rPr>
        <w:t>– Our significant office and surgical products and services include PARAGARD, Uterine Manipulators, Retractors, Closure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Point-of-Care products, LEEP products, Endosee, Illuminate, Fetal Pillow and recently acquired stem cell services of Generate</w:t>
      </w:r>
    </w:p>
    <w:p>
      <w:pPr>
        <w:spacing w:after="0" w:line="1"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b w:val="1"/>
          <w:bCs w:val="1"/>
          <w:color w:val="auto"/>
        </w:rPr>
        <w:t xml:space="preserve">Fertility </w:t>
      </w:r>
      <w:r>
        <w:rPr>
          <w:rFonts w:ascii="Arial" w:cs="Arial" w:eastAsia="Arial" w:hAnsi="Arial"/>
          <w:sz w:val="18"/>
          <w:szCs w:val="18"/>
          <w:color w:val="auto"/>
        </w:rPr>
        <w:t>– Our significant fertility products and services include fertility consumables, fertility equipment, Embryo Options, preimplantation genetic</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and recently acquired fertility services of Generate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4"/>
                <w:szCs w:val="14"/>
                <w:color w:val="auto"/>
              </w:rPr>
            </w:pPr>
          </w:p>
        </w:tc>
        <w:tc>
          <w:tcPr>
            <w:tcW w:w="1360" w:type="dxa"/>
            <w:vAlign w:val="bottom"/>
            <w:vMerge w:val="restart"/>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2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2022 vs 2021 %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Fertility</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2022:</w:t>
      </w:r>
    </w:p>
    <w:p>
      <w:pPr>
        <w:spacing w:after="0" w:line="171" w:lineRule="exact"/>
        <w:rPr>
          <w:sz w:val="20"/>
          <w:szCs w:val="20"/>
          <w:color w:val="auto"/>
        </w:rPr>
      </w:pPr>
    </w:p>
    <w:p>
      <w:pPr>
        <w:ind w:left="660" w:right="20" w:hanging="328"/>
        <w:spacing w:after="0" w:line="22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 and surgical products increased compared to the prior year period mainly due to sales from the recently acquired stem cell services of Generate and sales from the acquired products, Illuminate and Fetal Pillow</w:t>
      </w:r>
      <w:r>
        <w:rPr>
          <w:rFonts w:ascii="Arial" w:cs="Arial" w:eastAsia="Arial" w:hAnsi="Arial"/>
          <w:sz w:val="23"/>
          <w:szCs w:val="23"/>
          <w:color w:val="auto"/>
          <w:vertAlign w:val="superscript"/>
        </w:rPr>
        <w:t>®</w:t>
      </w:r>
      <w:r>
        <w:rPr>
          <w:rFonts w:ascii="Arial" w:cs="Arial" w:eastAsia="Arial" w:hAnsi="Arial"/>
          <w:sz w:val="18"/>
          <w:szCs w:val="18"/>
          <w:color w:val="auto"/>
        </w:rPr>
        <w:t>. Further, there was an increase from other office and surgical products such as closure and neonatal products.</w:t>
      </w:r>
    </w:p>
    <w:p>
      <w:pPr>
        <w:spacing w:after="0" w:line="13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Fertility net sales increased compared to the prior year period mainly due to an increase in revenue from fertility consumables, equipment sales and preimplantation genetic testing and sales from the recently acquired fertility services of Generate.</w:t>
      </w:r>
    </w:p>
    <w:p>
      <w:pPr>
        <w:spacing w:after="0" w:line="116"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exchange rates negatively impacted sales by approximately $4.7 million in the first quarter of fiscal 2022, compared to a positive impact of $1.0 million in the prior year period. In the first quarter of fiscal 2022, net sales increased by 33% in constant currency over the prior year period.</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growth was primarily driven by stronger demand for our products and services as a result of our customers continuing to reopen their health care facilities and medical offices.</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expect to continue seeing downward pressure and volatility in certain markets related to net sales if the COVID-19 pandemic continues, as hospitals and healthcare centers continue to restrict access, and social distancing measures continue.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Consolidated gross margin remained relatively flat at 66% in both the first quarter of fiscal 2022 and fiscal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 (SGA)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21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2022 vs 2021 %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38 %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35 %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96.1</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92"/>
              </w:rPr>
              <w:t>41 %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41 %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92"/>
              </w:rPr>
              <w:t>38 %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CooperVision's SGA increased in the first quarter of fiscal 2022 compared to fiscal 2021 due to increases in distribution costs, general and administrative costs and advertising and marketing activities primarily related to myopia management. CooperVision's SGA in the first quarter of fiscal 2022 included $6.3 million of costs primarily related to the increase in fair value of the contingent consideration of $3.5 million as described in Note 2. Acquisitions and Assets Held for Sale. CooperVision's SGA in the first quarter of fiscal 2021 included $1.8 million of costs primarily related to acquisition and integration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CooperSurgical's SGA increased in the first quarter of fiscal 2022 compared to fiscal 2021 primarily due to the addition of Generate's SGA.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CooperSurgical's SGA in the first quarter of fiscal 2022 included $6.0 million of costs primarily related to acquisition and integration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CooperSurgical's SGA in the first quarter of fiscal 2021 included $1.8 million of acquisition and integration expenses.</w:t>
      </w:r>
    </w:p>
    <w:p>
      <w:pPr>
        <w:spacing w:after="0" w:line="157" w:lineRule="exact"/>
        <w:rPr>
          <w:sz w:val="20"/>
          <w:szCs w:val="20"/>
          <w:color w:val="auto"/>
        </w:rPr>
      </w:pPr>
    </w:p>
    <w:p>
      <w:pPr>
        <w:ind w:right="920"/>
        <w:spacing w:after="0" w:line="456" w:lineRule="auto"/>
        <w:rPr>
          <w:sz w:val="20"/>
          <w:szCs w:val="20"/>
          <w:color w:val="auto"/>
        </w:rPr>
      </w:pPr>
      <w:r>
        <w:rPr>
          <w:rFonts w:ascii="Arial" w:cs="Arial" w:eastAsia="Arial" w:hAnsi="Arial"/>
          <w:sz w:val="18"/>
          <w:szCs w:val="18"/>
          <w:color w:val="auto"/>
        </w:rPr>
        <w:t xml:space="preserve">Corporate SGA increased in the first quarter of fiscal 2022 compared to fiscal 2021 primarily due to higher share-based compensation expense. </w:t>
      </w:r>
      <w:r>
        <w:rPr>
          <w:rFonts w:ascii="Arial" w:cs="Arial" w:eastAsia="Arial" w:hAnsi="Arial"/>
          <w:sz w:val="18"/>
          <w:szCs w:val="18"/>
          <w:b w:val="1"/>
          <w:bCs w:val="1"/>
          <w:color w:val="auto"/>
        </w:rPr>
        <w:t>Research and Development Expense (R&amp;D)</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384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2"/>
                <w:szCs w:val="12"/>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12"/>
                <w:szCs w:val="12"/>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1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2022 vs 2021 %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2022:</w:t>
      </w:r>
    </w:p>
    <w:p>
      <w:pPr>
        <w:spacing w:after="0" w:line="171" w:lineRule="exact"/>
        <w:rPr>
          <w:sz w:val="20"/>
          <w:szCs w:val="20"/>
          <w:color w:val="auto"/>
        </w:rPr>
      </w:pPr>
    </w:p>
    <w:p>
      <w:pPr>
        <w:ind w:left="660" w:right="80" w:hanging="328"/>
        <w:spacing w:after="0" w:line="287"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CooperVision's R&amp;D expense increased in the three months ended January 31, 2022 compared to fiscal 2021, mainly due to myopia management programs, increases in headcount and timing of R&amp;D projects. As a percentage of sales, CooperVision's R&amp;D expense remained relatively flat. CooperVision's R&amp;D activities are primarily focused on the development of contact lenses, manufacturing technology and process enhancements.</w:t>
      </w:r>
    </w:p>
    <w:p>
      <w:pPr>
        <w:spacing w:after="0" w:line="2" w:lineRule="exact"/>
        <w:rPr>
          <w:rFonts w:ascii="Arial" w:cs="Arial" w:eastAsia="Arial" w:hAnsi="Arial"/>
          <w:sz w:val="16"/>
          <w:szCs w:val="16"/>
          <w:color w:val="auto"/>
        </w:rPr>
      </w:pPr>
    </w:p>
    <w:p>
      <w:pPr>
        <w:ind w:left="660" w:right="400" w:hanging="328"/>
        <w:spacing w:after="0" w:line="224" w:lineRule="auto"/>
        <w:tabs>
          <w:tab w:leader="none" w:pos="621" w:val="left"/>
        </w:tabs>
        <w:numPr>
          <w:ilvl w:val="0"/>
          <w:numId w:val="20"/>
        </w:numPr>
        <w:rPr>
          <w:rFonts w:ascii="Arial" w:cs="Arial" w:eastAsia="Arial" w:hAnsi="Arial"/>
          <w:sz w:val="20"/>
          <w:szCs w:val="20"/>
          <w:color w:val="auto"/>
        </w:rPr>
      </w:pPr>
      <w:r>
        <w:rPr>
          <w:rFonts w:ascii="Arial" w:cs="Arial" w:eastAsia="Arial" w:hAnsi="Arial"/>
          <w:sz w:val="18"/>
          <w:szCs w:val="18"/>
          <w:color w:val="auto"/>
        </w:rPr>
        <w:t>CooperSurgical's R&amp;D expense increased in the three months ended January 31, 2022 compared to fiscal 2021, mainly due to the addition of Generate's R&amp;D expense and increases in headcount. As a percentage of sales, CooperSurgical's R&amp;D expense remained relatively flat. CooperSurgical's R&amp;D activities are focused on developing and refining diagnostic and therapeutic products including medical interventions, surgical devices and fertility solutions.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4"/>
                <w:szCs w:val="14"/>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14"/>
                <w:szCs w:val="14"/>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21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2022 vs 2021 %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2"/>
            <w:vMerge w:val="restart"/>
          </w:tcPr>
          <w:p>
            <w:pPr>
              <w:jc w:val="right"/>
              <w:ind w:right="559"/>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CooperVision's amortization expense remained relatively flat in absolute dollars in the first quarter of fiscal 2022 compared to fiscal 2021. As a percentage of sales, CooperVision's amortization expense decreased, primarily due to an increase in net sales.</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CooperSurgical's amortization expense increased in absolute dollars in the three months ended January 31, 2022 compared to fiscal 2021, primarily due to the amortization of intangible assets newly acquired through acquisitions. As a percentage of sales, CooperSurgical's amortization expense remained relatively flat, primarily due to an increase in net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21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2022 vs 2021 %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25 %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92"/>
              </w:rPr>
              <w:t>10 %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92"/>
              </w:rPr>
              <w:t>20 %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CooperVision's operating income remained relatively flat in absolute dollars in the three months ended January 31, 2022 compared to fiscal 2021. As a percentage of net sales, CooperVision's operating income decreased, primarily due to an increase in net sales.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CooperSurgical's operating income decreased in absolute dollars and as a percentage of net sales in the first quarter of fiscal 2022 compared to fiscal 2021, primarily due to an increase in SGA and amortization expense, partially offset by an increase in net sales.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Corporate operating loss increased in the three months ended January 31, 2022 compared to fiscal 2021, primarily due to higher share-based compensation expense.</w:t>
      </w:r>
    </w:p>
    <w:p>
      <w:pPr>
        <w:spacing w:after="0" w:line="19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a consolidated basis, operating income decreased in absolute dollars and as a percentage of net sales, primarily due to an increase in SGA and amortization expense, partially offset by an increase in consolidated net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4"/>
                <w:szCs w:val="14"/>
                <w:color w:val="auto"/>
              </w:rPr>
            </w:pPr>
          </w:p>
        </w:tc>
        <w:tc>
          <w:tcPr>
            <w:tcW w:w="9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560" w:type="dxa"/>
            <w:vAlign w:val="bottom"/>
            <w:gridSpan w:val="3"/>
            <w:vMerge w:val="restart"/>
          </w:tcPr>
          <w:p>
            <w:pPr>
              <w:jc w:val="right"/>
              <w:ind w:right="510"/>
              <w:spacing w:after="0"/>
              <w:rPr>
                <w:sz w:val="20"/>
                <w:szCs w:val="20"/>
                <w:color w:val="auto"/>
              </w:rPr>
            </w:pPr>
            <w:r>
              <w:rPr>
                <w:rFonts w:ascii="Arial" w:cs="Arial" w:eastAsia="Arial" w:hAnsi="Arial"/>
                <w:sz w:val="14"/>
                <w:szCs w:val="14"/>
                <w:b w:val="1"/>
                <w:bCs w:val="1"/>
                <w:color w:val="auto"/>
              </w:rPr>
              <w:t>% Net Sales</w:t>
            </w:r>
          </w:p>
        </w:tc>
        <w:tc>
          <w:tcPr>
            <w:tcW w:w="9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21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2022 vs 2021 %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remained relatively flat as a percentage of net sales and in absolute dollars during the three months ended January 31, 2022 compared to fiscal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13"/>
                <w:szCs w:val="13"/>
                <w:color w:val="auto"/>
              </w:rPr>
            </w:pPr>
          </w:p>
        </w:tc>
        <w:tc>
          <w:tcPr>
            <w:tcW w:w="1380" w:type="dxa"/>
            <w:vAlign w:val="bottom"/>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74"/>
              <w:spacing w:after="0"/>
              <w:rPr>
                <w:sz w:val="20"/>
                <w:szCs w:val="20"/>
                <w:color w:val="auto"/>
              </w:rPr>
            </w:pPr>
            <w:r>
              <w:rPr>
                <w:rFonts w:ascii="Arial" w:cs="Arial" w:eastAsia="Arial" w:hAnsi="Arial"/>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gain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Foreign exchange loss (gain)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On January 19, 2021, CooperVision acquired all of the remaining equity interests of a privately-held medical device company that develops spectacle lenses for myopia management. The fair value remeasurement of our previous equity investment immediately before the acquisition resulted in a gain of $11.5 million in the prior year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 (gain) primarily resulted from the revaluation and settlement of foreign currency-denominated balances.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Other income, net increased in the three months ended January 31, 2022, primarily due to an increase in defined benefit plan related income during the period, partially offset by losses on minority investments.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Our effective tax rates for the three months ended January 31, 2022 and January 31, 2021 were 21.8% and (1,406.3)%, respectively. The increase was primarily due to an intra-group transfer of intellectual property during the three months ended January 31, 2021, as discussed below.</w:t>
      </w:r>
    </w:p>
    <w:p>
      <w:pPr>
        <w:spacing w:after="0" w:line="15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November 2020, we completed an intra-group transfer of certain intellectual property and related assets of CooperVision to a UK subsidiary as part of a group restructuring to establish headquarters operations in the UK. Determining fair value involved significant judgment related to future revenue growth, operating margins and discount rates. The transfer resulted in a step-up of the UK tax-deductible basis in the intellectual property and goodwill, creating a temporary difference between the book basis and the tax basis of these assets. As a result, we recognized a deferred tax asset of $1,987.9 million, with a corresponding income tax benefit, during the three months ended January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several share-based compensation plans that are described in our Annual Report on Form 10-K for the fiscal year ended October 31, 2021. The compensation expense and related income tax benefit recognized in our Consolidated Statements of Income and Comprehensive Income for share-based awards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61"/>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40" w:type="dxa"/>
            <w:vAlign w:val="bottom"/>
          </w:tcPr>
          <w:p>
            <w:pPr>
              <w:spacing w:after="0"/>
              <w:rPr>
                <w:sz w:val="13"/>
                <w:szCs w:val="13"/>
                <w:color w:val="auto"/>
              </w:rPr>
            </w:pPr>
          </w:p>
        </w:tc>
        <w:tc>
          <w:tcPr>
            <w:tcW w:w="1360" w:type="dxa"/>
            <w:vAlign w:val="bottom"/>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Related income tax benefit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7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cash flow of $166.0 million compared to $147.7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of $57.1 million compared to $55.9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payments for acquisitions and others of $1,612.2 million compared to $79.8 million in the prior year period</w:t>
      </w:r>
    </w:p>
    <w:p>
      <w:pPr>
        <w:spacing w:after="0" w:line="171" w:lineRule="exact"/>
        <w:rPr>
          <w:rFonts w:ascii="Arial" w:cs="Arial" w:eastAsia="Arial" w:hAnsi="Arial"/>
          <w:sz w:val="18"/>
          <w:szCs w:val="18"/>
          <w:color w:val="auto"/>
        </w:rPr>
      </w:pPr>
    </w:p>
    <w:p>
      <w:pPr>
        <w:ind w:left="660" w:right="20" w:hanging="652"/>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provided by operations of $166.0 million offset by capital expenditures of $57.1 million resulted in positive free cash flow of $108.9 million, up 19%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b w:val="1"/>
                <w:bCs w:val="1"/>
                <w:color w:val="auto"/>
              </w:rPr>
              <w:t>January 31, 2022</w:t>
            </w:r>
          </w:p>
        </w:tc>
        <w:tc>
          <w:tcPr>
            <w:tcW w:w="320" w:type="dxa"/>
            <w:vAlign w:val="bottom"/>
          </w:tcPr>
          <w:p>
            <w:pPr>
              <w:spacing w:after="0"/>
              <w:rPr>
                <w:sz w:val="14"/>
                <w:szCs w:val="14"/>
                <w:color w:val="auto"/>
              </w:rPr>
            </w:pPr>
          </w:p>
        </w:tc>
        <w:tc>
          <w:tcPr>
            <w:tcW w:w="1780" w:type="dxa"/>
            <w:vAlign w:val="bottom"/>
          </w:tcPr>
          <w:p>
            <w:pPr>
              <w:jc w:val="right"/>
              <w:ind w:right="452"/>
              <w:spacing w:after="0"/>
              <w:rPr>
                <w:sz w:val="20"/>
                <w:szCs w:val="20"/>
                <w:color w:val="auto"/>
              </w:rPr>
            </w:pPr>
            <w:r>
              <w:rPr>
                <w:rFonts w:ascii="Arial" w:cs="Arial" w:eastAsia="Arial" w:hAnsi="Arial"/>
                <w:sz w:val="14"/>
                <w:szCs w:val="14"/>
                <w:b w:val="1"/>
                <w:bCs w:val="1"/>
                <w:color w:val="auto"/>
              </w:rPr>
              <w:t>October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95.9</w:t>
            </w:r>
          </w:p>
        </w:tc>
      </w:tr>
      <w:tr>
        <w:trPr>
          <w:trHeight w:val="230"/>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11,662.5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9,606.2</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733.2</w:t>
            </w:r>
          </w:p>
        </w:tc>
      </w:tr>
      <w:tr>
        <w:trPr>
          <w:trHeight w:val="22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3,258.5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1,479.0</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6,942.0</w:t>
            </w:r>
          </w:p>
        </w:tc>
      </w:tr>
      <w:tr>
        <w:trPr>
          <w:trHeight w:val="22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Ratio of debt to equity</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0.47:1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0.21:1</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as a percentage of total capitalization</w:t>
            </w: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working capital at January 31, 2022 from the end of fiscal 2021 was primarily due to:</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in short-term debt of $829.1 million primarily due to the 2021 364-Day Term Loan Agreement entered into on November 2, 2021; and</w:t>
      </w:r>
    </w:p>
    <w:p>
      <w:pPr>
        <w:spacing w:after="0" w:line="194"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other current liabilities of $123.8 million, primarily due to the Generate acquisition. Refer to Note 2. Acquisitions and Assets Held for Sale for further information;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cash and cash equivalents of $184.8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in employee compensation and benefits of $26.5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prepaid expenses and other current assets of $17.3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in accounts payable of $12.4 million due to timing of payments and the Generate acquisition;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trade accounts receivables of $10.6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2022, our inventory months on hand was 6.6 compared to 6.8 at October 31, 2021. Inventory remained relatively flat.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days sales outstanding (DSO) were relatively consistent at 61 days at January 31, 2022, compared to 64 days at October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provided by operating activities increased by $18.3 million from $147.7 million in the first quarter of fiscal 2021 to $166.0 million in the first quarter of fiscal 2022. This increase in cash flow provided by operating activities primarily consists of:</w:t>
      </w:r>
    </w:p>
    <w:p>
      <w:pPr>
        <w:spacing w:after="0" w:line="1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of $1,996.0 million in the net changes in deferred income taxes. Refer to Note 6. Income Taxes for further information;</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of $56.1 million in net cash flow from changes in operating capital, from $49.9 million outflow in the first quarter of fiscal 2021 to $6.2 million inflow in the first quarter of fiscal 2022; and</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of $6.5 million in net changes in depreciation and amortization, from $75.5 million during the first quarter of fiscal 2021 to $82.0 million during the first quarter of fiscal 2022; partially offset by:</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 in net income of $2,005.8 million from a net income of $2,101.1 million in the first quarter of fiscal 2021 to $95.3 million in the first quarter of fiscal 2022; and</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 from other non-cash items of $34.5 million, from $2.3 million inflow during the first quarter of fiscal 2021 to 32.2 million outflow during the first quarter of fiscal 2022, primarily due to the net changes in long-term liabilities, partially offset by an investment gain of $11.5 million in the first quarter of fiscal 2021. Refer to Note 2. Acquisitions and Assets Held for Sale for further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net income of $2,005.8 million was primarily due to:</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recognized income tax benefit of $1,987.9 million in the prior year period. Refer to Note 6. Income Taxes for further information; and</w:t>
      </w:r>
    </w:p>
    <w:p>
      <w:pPr>
        <w:spacing w:after="0" w:line="171"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investment gain of $11.5 million recognized in the prior year period. Refer to Note 2. Acquisitions and Assets Held for Sale for further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$56.1 million increase in the net cash flow from changes in operating capital compared to the prior year period is primarily due to:</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$40.6 million increase in the net changes in trade and other receivables primarily due to timing of collections;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right="54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$22.5 million increase in the net changes in accounts payable primarily due to timing of payments and payables assumed from the Generate acquisition;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$12.2 million decrease in the net changes in the transaction gain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$34.5 million decrease in non-cash items compared to the prior year period is primarily due to:</w:t>
      </w:r>
    </w:p>
    <w:p>
      <w:pPr>
        <w:spacing w:after="0" w:line="17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$64.7 million decrease in the net changes in long-term liabilities; partially offset by:</w:t>
      </w:r>
    </w:p>
    <w:p>
      <w:pPr>
        <w:spacing w:after="0" w:line="171"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investment gain of $11.5 million recognized in the prior year period. Refer to Note 2. Acquisitions and Assets Held for Sale for further information;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$8.2 million increase from the effect of exchange rate change on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used in investing activities increased by $1,533.6 million to $1,669.3 million in the first quarter of fiscal 2022 from $135.7 million in the first quarter of fiscal 2021 due to:</w:t>
      </w:r>
    </w:p>
    <w:p>
      <w:pPr>
        <w:spacing w:after="0" w:line="197" w:lineRule="exact"/>
        <w:rPr>
          <w:sz w:val="20"/>
          <w:szCs w:val="20"/>
          <w:color w:val="auto"/>
        </w:rPr>
      </w:pPr>
    </w:p>
    <w:p>
      <w:pPr>
        <w:ind w:left="660" w:right="44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$1.5 billion increase in payments made for acquisitions in the first quarter of fiscal 2022 compared to the prior year period, largely due to the Generate acquisition in the first three months of fiscal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flows from financing activities increase by $1,707.2 million to $1,693.6 million cash inflow in the first quarter of fiscal 2022 compared to $13.6 million cash outflow in the first quarter of fiscal 2021, primarily due to:</w:t>
      </w:r>
    </w:p>
    <w:p>
      <w:pPr>
        <w:spacing w:after="0" w:line="11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$1,250.0 million increase in proceeds from long-term debt, primarily due to funds received from the 2021 Term Loan Facility;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$839.2 million increase in net proceeds from short-term debt, primarily due to the 2021 364-Day Term Loan Agreement; partially offset by:</w:t>
      </w:r>
    </w:p>
    <w:p>
      <w:pPr>
        <w:spacing w:after="0" w:line="182" w:lineRule="exact"/>
        <w:rPr>
          <w:rFonts w:ascii="Arial" w:cs="Arial" w:eastAsia="Arial" w:hAnsi="Arial"/>
          <w:sz w:val="17"/>
          <w:szCs w:val="17"/>
          <w:color w:val="auto"/>
        </w:rPr>
      </w:pPr>
    </w:p>
    <w:p>
      <w:pPr>
        <w:ind w:left="660" w:right="1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$325.4 million increase in repayments of long-term debt, primarily due to repayments of funds from the 2021 Credit Agreement in the first three months of fiscal 2022 compared to repayment of funds from the 2020 Credit Agreement in the prior year period;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$53.7 million increase in repurchases of common stock.</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November 2, 2021, the Company entered into a 364-day, $840.0 million, term loan agreement by and among the Company, the lenders party thereto and The Bank of Nova Scotia, as administrative agent (the 2021 364-Day Term Loan Agreement), which matures on November 1, 2022. The Company used part of the funds to partially repay outstanding borrowings under the 2020 Revolving Credit Facility and for general corporate purposes.</w:t>
      </w:r>
    </w:p>
    <w:p>
      <w:pPr>
        <w:spacing w:after="0" w:line="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 billion, upon prior written notice to the administrative agent and subject to the discretionary participation of the lenders funding such term loans and certain limitations set forth in the 2021 Credit Agreement.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maximum commitments and the net amounts available to us under different credit facilities as of January 31,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Total Amount</w:t>
            </w:r>
          </w:p>
        </w:tc>
        <w:tc>
          <w:tcPr>
            <w:tcW w:w="120" w:type="dxa"/>
            <w:vAlign w:val="bottom"/>
          </w:tcPr>
          <w:p>
            <w:pPr>
              <w:spacing w:after="0"/>
              <w:rPr>
                <w:sz w:val="14"/>
                <w:szCs w:val="14"/>
                <w:color w:val="auto"/>
              </w:rPr>
            </w:pPr>
          </w:p>
        </w:tc>
        <w:tc>
          <w:tcPr>
            <w:tcW w:w="2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8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Letters of Credit</w:t>
            </w:r>
          </w:p>
        </w:tc>
        <w:tc>
          <w:tcPr>
            <w:tcW w:w="140" w:type="dxa"/>
            <w:vAlign w:val="bottom"/>
          </w:tcPr>
          <w:p>
            <w:pPr>
              <w:spacing w:after="0"/>
              <w:rPr>
                <w:sz w:val="9"/>
                <w:szCs w:val="9"/>
                <w:color w:val="auto"/>
              </w:rPr>
            </w:pPr>
          </w:p>
        </w:tc>
        <w:tc>
          <w:tcPr>
            <w:tcW w:w="1080" w:type="dxa"/>
            <w:vAlign w:val="bottom"/>
            <w:vMerge w:val="restart"/>
          </w:tcPr>
          <w:p>
            <w:pPr>
              <w:jc w:val="right"/>
              <w:ind w:right="235"/>
              <w:spacing w:after="0" w:line="149" w:lineRule="exact"/>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2021</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17, 2026</w:t>
            </w: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2021</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364-Day Term Loan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November 1, 2022</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2020</w:t>
            </w:r>
          </w:p>
        </w:tc>
        <w:tc>
          <w:tcPr>
            <w:tcW w:w="344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2020 Credit Agreement contains customary restrictive covenants, as well as financial covenants that require us to maintain a certain Total Leverage Ratio and Interest Coverage Ratio. As defined, in the 2020 Credit Agreement, we are required to maintain an Interest Coverage Ratio of at least 3.00 to</w:t>
      </w:r>
    </w:p>
    <w:p>
      <w:pPr>
        <w:spacing w:after="0"/>
        <w:rPr>
          <w:sz w:val="20"/>
          <w:szCs w:val="20"/>
          <w:color w:val="auto"/>
        </w:rPr>
      </w:pPr>
      <w:r>
        <w:rPr>
          <w:rFonts w:ascii="Arial" w:cs="Arial" w:eastAsia="Arial" w:hAnsi="Arial"/>
          <w:sz w:val="16"/>
          <w:szCs w:val="16"/>
          <w:color w:val="auto"/>
        </w:rPr>
        <w:t>1.00, and a Total Leverage Ratio of no higher than 3.75 to 1.00. At January 31, 2022, we were in compliance with the Interest Coverage Ratio at 47.19 to</w:t>
      </w:r>
    </w:p>
    <w:p>
      <w:pPr>
        <w:spacing w:after="0" w:line="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1.00 and the Total Leverage Ratio at 2.71 to 1.00.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Considering recent market conditions and the ongoing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2022, $256.4 million remained authorized for repurchase under the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repurchases during the three months ended January 31, 2022 and January 31, 2021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Periods Ended January 31,</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2021</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191,165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69,622</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Average repurchase price per share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410.41</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356.61</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shares repurchased (in millions)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paid a semiannual dividend of approximately $1.5 million or 3 cents per share, on February 9, 2022, to stockholders of record on January 21,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non-GAAP financial measures that may be included in Management's Discussion and Analysis and the reasons management believes they are useful to investors are described below. These measures should be considered supplemental in nature and are not intended to be a substitute for the related financial information prepared in accordance with GAAP. In addition, these measures may not be the same as similarly named measures presented by other companies.</w:t>
      </w: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Free cash flow is defined as cash provided by operating activities less capital expenditures. Management believes free cash flow is useful for investors as an additional measure of liquidity because it represents cash that is available to grow the business, make strategic acquisitions, repay debt, buyback common stock or fund the dividend. We use free cash flow internally to understand, manage, make operating decisions and evaluate our business. In addition, we use free cash flow to help plan and forecast future periods.</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Constant currency is defined as excluding the effect of foreign currency rate fluctuations. In order to assist with the assessment of how our underlying businesses performed, we compare the percentage change in net sales from one period to another, excluding the effect of foreign currency fluctuations. To present this information, current period revenue for entities reporting in currencies other than the United States dollar are converted into United States dollars at the average foreign exchange rates for the corresponding period in the prior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Information regarding estimates and critical accounting policies is included in Management's Discussion and Analysis on Form 10-K for the fiscal year ended October 31, 2021. There have been no material changes in our policies from those previously discussed in our Form 10-K for the fiscal year October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General of the Consolidated Condensed Financial Statements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51"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ActivControl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Aquaform</w:t>
      </w:r>
      <w:r>
        <w:rPr>
          <w:rFonts w:ascii="Arial" w:cs="Arial" w:eastAsia="Arial" w:hAnsi="Arial"/>
          <w:sz w:val="22"/>
          <w:szCs w:val="22"/>
          <w:color w:val="auto"/>
          <w:vertAlign w:val="superscript"/>
        </w:rPr>
        <w:t>®</w:t>
      </w:r>
      <w:r>
        <w:rPr>
          <w:rFonts w:ascii="Arial" w:cs="Arial" w:eastAsia="Arial" w:hAnsi="Arial"/>
          <w:sz w:val="17"/>
          <w:szCs w:val="17"/>
          <w:color w:val="auto"/>
        </w:rPr>
        <w:t>, Avaira Vitality</w:t>
      </w:r>
      <w:r>
        <w:rPr>
          <w:rFonts w:ascii="Arial" w:cs="Arial" w:eastAsia="Arial" w:hAnsi="Arial"/>
          <w:sz w:val="22"/>
          <w:szCs w:val="22"/>
          <w:color w:val="auto"/>
          <w:vertAlign w:val="superscript"/>
        </w:rPr>
        <w:t>®</w:t>
      </w:r>
      <w:r>
        <w:rPr>
          <w:rFonts w:ascii="Arial" w:cs="Arial" w:eastAsia="Arial" w:hAnsi="Arial"/>
          <w:sz w:val="17"/>
          <w:szCs w:val="17"/>
          <w:color w:val="auto"/>
        </w:rPr>
        <w:t>, Biofinity</w:t>
      </w:r>
      <w:r>
        <w:rPr>
          <w:rFonts w:ascii="Arial" w:cs="Arial" w:eastAsia="Arial" w:hAnsi="Arial"/>
          <w:sz w:val="22"/>
          <w:szCs w:val="22"/>
          <w:color w:val="auto"/>
          <w:vertAlign w:val="superscript"/>
        </w:rPr>
        <w:t>®</w:t>
      </w:r>
      <w:r>
        <w:rPr>
          <w:rFonts w:ascii="Arial" w:cs="Arial" w:eastAsia="Arial" w:hAnsi="Arial"/>
          <w:sz w:val="17"/>
          <w:szCs w:val="17"/>
          <w:color w:val="auto"/>
        </w:rPr>
        <w:t>,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MyDay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MiSight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The Cooper Companies, Inc., its affiliates and/or subsidiaries. PC Technology™ is a trademark of The Cooper Companies, Inc., its affiliates and/or subsidiaries. The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mark is a registered trademark of The Cooper Companies, Inc., its affiliates and/or subsidiaries worldwide except in the United States where the use of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licensed. INSORB</w:t>
      </w:r>
      <w:r>
        <w:rPr>
          <w:rFonts w:ascii="Arial" w:cs="Arial" w:eastAsia="Arial" w:hAnsi="Arial"/>
          <w:sz w:val="22"/>
          <w:szCs w:val="22"/>
          <w:color w:val="auto"/>
          <w:vertAlign w:val="superscript"/>
        </w:rPr>
        <w:t>®</w:t>
      </w:r>
      <w:r>
        <w:rPr>
          <w:rFonts w:ascii="Arial" w:cs="Arial" w:eastAsia="Arial" w:hAnsi="Arial"/>
          <w:sz w:val="17"/>
          <w:szCs w:val="17"/>
          <w:color w:val="auto"/>
        </w:rPr>
        <w:t>, PARAGARD</w:t>
      </w:r>
      <w:r>
        <w:rPr>
          <w:rFonts w:ascii="Arial" w:cs="Arial" w:eastAsia="Arial" w:hAnsi="Arial"/>
          <w:sz w:val="22"/>
          <w:szCs w:val="22"/>
          <w:color w:val="auto"/>
          <w:vertAlign w:val="superscript"/>
        </w:rPr>
        <w:t>®</w:t>
      </w:r>
      <w:r>
        <w:rPr>
          <w:rFonts w:ascii="Arial" w:cs="Arial" w:eastAsia="Arial" w:hAnsi="Arial"/>
          <w:sz w:val="17"/>
          <w:szCs w:val="17"/>
          <w:color w:val="auto"/>
        </w:rPr>
        <w:t>, Mara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Fetal Pillow</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CooperSurgical, Inc.</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Most of our operations outside the United States have their local currency as their functional currency. We are exposed to risks caused by changes in foreign exchange, principally our British pound sterling, euro, Japanese yen and Danish krone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w:t>
      </w:r>
    </w:p>
    <w:p>
      <w:pPr>
        <w:spacing w:after="0" w:line="12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April 6, 2020, we entered into six interest rate swap contracts to hedge the Company's exposure to changes in cash flows associated with its variable rate debt. The interest rate swap contracts became effective on April 6, 2020 and had maturities of seven years or less. As of January 31, 2022, the outstanding contracts have a total notional amount of $1.0 billion.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cross currency swaps or foreign currency forward contracts as of January 31, 2022.</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April 1, 2020, we entered into a Revolving Credit and Term Loan Agreement (the 2020 Credit Agreement), among us,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2020 Credit Agreement replaced our previous credit agreement and funds from the new term loan were used to repay the outstanding amounts under the previous credit agreement, to repay an outstanding term loan, and for general corporate purposes. At January 31, 2022, the Company had $1,288.6 million available under the 2020 Revolving Credit Facility and $850.0 million outstanding under the 2020 Term Loan Facility.</w:t>
      </w: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November 2, 2021, the Company entered into a 364-day, $840.0 million, term loan agreement by and among the Company, the lenders party thereto and The Bank of Nova Scotia, as administrative agent (the 2021 364-Day Term Loan Agreement), which matures on November 1, 2022. The Company used part of the funds to partially repay outstanding borrowings under the 2020 Revolving Credit Facility and for general corporate purposes. At January 31, 2022, the Company had $840.0 million outstanding under the 2021 364-Day Term Loan Agreement.</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 billion, upon prior written notice to the administrative agent and subject to the discretionary participation of the lenders funding such term loans and certain limitations set forth in the 2021 Credit Agreement. At January 31, 2022, the Company had $1.5 billion outstanding under the 2021 Term Loan Facility.</w:t>
      </w:r>
    </w:p>
    <w:p>
      <w:pPr>
        <w:spacing w:after="0" w:line="12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If interest rates were to have increased or decreased by 1% or 100 basis points, the quarterly interest expense would have increased or decreased by approximately $3.7 million based on average debt outstanding for the first quarter of fiscal 2022, after consideration of our interest rate swap contracts.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Rule 13a-</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15(d) and 15d-15(d) of the Exchange Act that occurred during our first quarter of fiscal 2022, that have materially affected, or are reasonably likely to materially affect, our internal control over financial reporting. We have not experienced any material impact to our internal controls over financial reporting despite the fact that certain of our employees are working remotely due to the COVID-19 pandemic. We are continually monitoring and assessing the COVID-19 related considerations and any impact on the design and operating effectiveness of our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Information regarding legal proceedings is included in Note 12. Contingencies of the Consolidated Condensed Financial Statements of this Quarterly Report on Form 10-Q.</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214"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fiscal year ended October 31, 2021. In the first quarter of fiscal 2022, we updated some of our risk factors as described below. There have been no other material changes in our risk factors from those previously discussed in our Annual Report on Form 10-K for the fiscal year ended October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substantial and expanding international operations are subject to uncertainties which could affect our operating results.</w:t>
      </w:r>
    </w:p>
    <w:p>
      <w:pPr>
        <w:spacing w:after="0" w:line="25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Latin America and Europe. Over half of our net sales for the first quarter of fiscal 2022 and the fiscal year ended October 31, 2021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w:t>
      </w:r>
    </w:p>
    <w:p>
      <w:pPr>
        <w:spacing w:after="0" w:line="188" w:lineRule="exact"/>
        <w:rPr>
          <w:sz w:val="20"/>
          <w:szCs w:val="20"/>
          <w:color w:val="auto"/>
        </w:rPr>
      </w:pPr>
    </w:p>
    <w:p>
      <w:pPr>
        <w:ind w:left="340" w:right="240" w:hanging="332"/>
        <w:spacing w:after="0" w:line="258"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find it difficult to manage the effects of the ongoing COVID-19 pandemic on our ability to operate internationally and for our employees to travel internationally;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difficulty enforcing intellectual property rights in some foreign countries;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have difficulty gaining market share in countries such as Japan and China because of regulatory restrictions and customer preferences;</w:t>
      </w:r>
    </w:p>
    <w:p>
      <w:pPr>
        <w:spacing w:after="0" w:line="20" w:lineRule="exact"/>
        <w:rPr>
          <w:rFonts w:ascii="Arial" w:cs="Arial" w:eastAsia="Arial" w:hAnsi="Arial"/>
          <w:sz w:val="17"/>
          <w:szCs w:val="17"/>
          <w:color w:val="auto"/>
        </w:rPr>
      </w:pPr>
    </w:p>
    <w:p>
      <w:pPr>
        <w:ind w:left="340" w:right="140" w:hanging="332"/>
        <w:spacing w:after="0" w:line="250"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find it difficult to grow in emerging markets such as China, India, Russia, Brazil and other developing nations due to, among other things, customer acceptance, undeveloped and/or unfamiliar distribution channels, regulatory restrictions and changes, and business knowledge of these new markets;</w:t>
      </w:r>
    </w:p>
    <w:p>
      <w:pPr>
        <w:spacing w:after="0" w:line="1" w:lineRule="exact"/>
        <w:rPr>
          <w:rFonts w:ascii="Arial" w:cs="Arial" w:eastAsia="Arial" w:hAnsi="Arial"/>
          <w:sz w:val="18"/>
          <w:szCs w:val="18"/>
          <w:color w:val="auto"/>
        </w:rPr>
      </w:pPr>
    </w:p>
    <w:p>
      <w:pPr>
        <w:ind w:left="340" w:right="220" w:hanging="332"/>
        <w:spacing w:after="0" w:line="250"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earnings may be subject to withholding requirements or the imposition of tariffs, exchange controls or other restrictions, including the tariffs enacted by the Chinese government on certain U.S. goods, the scope and duration of which remain uncertain;</w:t>
      </w:r>
    </w:p>
    <w:p>
      <w:pPr>
        <w:ind w:left="340" w:right="40" w:hanging="332"/>
        <w:spacing w:after="0" w:line="250"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find it difficult to comply with a variety of United States and foreign legal, compliance and regulatory requirements such as the Foreign Corrupt Practices Act, the Dodd-Frank Wall Street Reform and Consumer Protection Act, the United Kingdom Bribery Act, international data security and privacy laws, EU MDR and IVDR;</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find it difficult to manage a large organization spread throughout various countries;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currency exchange rates could adversely affect our results;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customers may have longer payment cycles than customers in the United States;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comply with United States Department of Commerce and other nations' import-export controls may result in fines and/or penalties;</w:t>
      </w:r>
    </w:p>
    <w:p>
      <w:pPr>
        <w:spacing w:after="0" w:line="20" w:lineRule="exact"/>
        <w:rPr>
          <w:rFonts w:ascii="Arial" w:cs="Arial" w:eastAsia="Arial" w:hAnsi="Arial"/>
          <w:sz w:val="17"/>
          <w:szCs w:val="17"/>
          <w:color w:val="auto"/>
        </w:rPr>
      </w:pPr>
    </w:p>
    <w:p>
      <w:pPr>
        <w:ind w:left="340" w:right="120" w:hanging="332"/>
        <w:spacing w:after="0" w:line="250"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where we operate may have an adverse effect on our operations in those countries or not be favorable to our growth strategy;</w:t>
      </w:r>
    </w:p>
    <w:p>
      <w:pPr>
        <w:ind w:left="340" w:hanging="332"/>
        <w:spacing w:after="0" w:line="250"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pandemics such as COVID-19, war, terrorism, labor disruptions and international conflicts may cause significant economic disruption and political and social instability, resulting in decreased demand for our products, adversely affecting our manufacturing and distribution capabilities, or causing interruptions in our supply chain;</w:t>
      </w:r>
    </w:p>
    <w:p>
      <w:pPr>
        <w:spacing w:after="0" w:line="1" w:lineRule="exact"/>
        <w:rPr>
          <w:rFonts w:ascii="Arial" w:cs="Arial" w:eastAsia="Arial" w:hAnsi="Arial"/>
          <w:sz w:val="18"/>
          <w:szCs w:val="18"/>
          <w:color w:val="auto"/>
        </w:rPr>
      </w:pPr>
    </w:p>
    <w:p>
      <w:pPr>
        <w:ind w:left="340" w:right="340" w:hanging="332"/>
        <w:spacing w:after="0" w:line="255"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governments may adopt regulations, including those similar to the EU MDR and IVDR or take other actions that would have a direct or indirect adverse impact on our business and market opportunities, including but not limited to increased enforcement of potentially conflicting and ambiguous anti-bribery laws;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2" w:name="page43"/>
    <w:bookmarkEnd w:id="42"/>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have difficulty enforcing agreements and collecting receivables through some foreign legal systems; and</w:t>
      </w:r>
    </w:p>
    <w:p>
      <w:pPr>
        <w:spacing w:after="0" w:line="23" w:lineRule="exact"/>
        <w:rPr>
          <w:rFonts w:ascii="Arial" w:cs="Arial" w:eastAsia="Arial" w:hAnsi="Arial"/>
          <w:sz w:val="18"/>
          <w:szCs w:val="18"/>
          <w:color w:val="auto"/>
        </w:rPr>
      </w:pPr>
    </w:p>
    <w:p>
      <w:pPr>
        <w:ind w:left="340" w:right="160" w:hanging="332"/>
        <w:spacing w:after="0" w:line="260"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unforeseen economic or political events in certain countries that may have an impact on our customers' ability or preferences to buy our products.</w:t>
      </w:r>
    </w:p>
    <w:p>
      <w:pPr>
        <w:spacing w:after="0" w:line="21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Russia’s invasion of Ukraine and the global response to this invasion could have an adverse impact on our business, including by impacting our ability to market and sell products in Russia, by creating disruptions in the global supply chain, by potentially having an adverse impact on the global economy, European economy, financial markets, energy markets, currency rates and otherwise.</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20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We face risks associated with disruption of our manufacturing, distribution and storage operations, including possible failure to develop necessary manufacturing processes, or constrained, idle or excess capacity, which could adversely affect our profitability or competitive position.</w:t>
      </w:r>
    </w:p>
    <w:p>
      <w:pPr>
        <w:spacing w:after="0" w:line="14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manufacture a significant portion of the medical device products we sell. Any prolonged disruption in the operations of our existing manufacturing or distribution facilities, or in the operations of our fertility and stem cell storage facilities, whether due to the effects of the COVID-19 pandemic and related work stoppages, technical or labor difficulties, integration difficulties, destruction of or damage to any facility (as a result of natural disaster, use and storage of hazardous materials or other events), enforcement action by the FDA or other regulatory body if we are found to be in non-compliance with current Good Manufacturing Practices (cGMP) or similar foreign requirements or other reasons, could have a material adverse effect on our business, financial condition and results of operations. In addition, materials such as silicone hydrogel require improvements to our manufacturing processes to make them cost effective. While we have improved our manufacturing capabilities for our silicone hydrogel products, our failure to continue to develop improvements to our manufacturing processes and reduce our cost of goods could significantly impact our ability to compete. Conversely, constrained, excess or idle capacity, which could result from acquisitions, unexpected demand, inaccurate sales forecasting or unexpected manufacturing efficiencies, could significantly impact our profitability, capital investments, customer service levels and near-term financial condition.</w:t>
      </w:r>
    </w:p>
    <w:p>
      <w:pPr>
        <w:spacing w:after="0" w:line="195"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CooperVision manufactures molded contact lenses, which represent the majority of our contact lens revenues, primarily at our facilities in Costa Rica, Hungary, Puerto Rico, the United Kingdom and the United States, with other smaller facilities also existing in multiple locations around the world. CooperSurgical manufactures the majority of its products in Costa Rica, the United Kingdom and the United States, with other smaller locations also existing in multiple locations around the world. In November 2017, CooperSurgical purchased a manufacturing facility in Costa Rica to consolidate a portion of global manufacturing. We manufacture certain products at only one manufacturing site for certain markets, and certain of our products are approved for manufacturing only at one site. If there were any prolonged disruption in the operations of the approved facility, it could take a significant amount of time to obtain required regulatory approvals, validate a second site and replace lost product, which could result in lost customers and thereby reduce sales, profitability and market share.</w:t>
      </w:r>
    </w:p>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CooperVision distributes products out of Belgium, Hungary, the United Kingdom and the United States and various smaller international distribution sites. CooperSurgical primarily distributes products out of its facilities in the United States and the Netherlands and operates fertility and stem cell storage facilities in the United States, Canada and Australia. Any prolonged disruption in the operations of our existing distribution or storage facilities, whether due to technical or labor difficulties, challenges related to system implementation, destruction of or damage to any facility (as a result of natural disaster, use and storage of hazardous materials or other events) or other reasons, could have a material adverse effect on our business, financial condition and results of operations.</w:t>
      </w:r>
    </w:p>
    <w:p>
      <w:pPr>
        <w:spacing w:after="0" w:line="21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could experience losses from product liability claims or legal claims relating to our service offerings, including such claims and other losses resulting from sales of counterfeit and other infringing products.</w:t>
      </w:r>
    </w:p>
    <w:p>
      <w:pPr>
        <w:spacing w:after="0" w:line="193"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We face an inherent risk of exposure to product liability claims in the event that the use of our products results in personal injury. We also face the risk that defects in the design or manufacture of our products or sales of counterfeit or other infringing products might necessitate a product recall and other actions by manufacturers, distributors or retailers in order to safeguard the health of consumers and protect the integrity of the subject brand. Additionally, we face the inherent risk of exposure to legal claims, including negligence, relating to our provision of certain service offerings, including the accuracy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3" w:name="page44"/>
    <w:bookmarkEnd w:id="43"/>
    <w:p>
      <w:pPr>
        <w:ind w:right="100"/>
        <w:spacing w:after="0" w:line="301" w:lineRule="auto"/>
        <w:rPr>
          <w:sz w:val="20"/>
          <w:szCs w:val="20"/>
          <w:color w:val="auto"/>
        </w:rPr>
      </w:pPr>
      <w:r>
        <w:rPr>
          <w:rFonts w:ascii="Arial" w:cs="Arial" w:eastAsia="Arial" w:hAnsi="Arial"/>
          <w:sz w:val="16"/>
          <w:szCs w:val="16"/>
          <w:color w:val="auto"/>
        </w:rPr>
        <w:t>and quality of our genetic testing, fertility cryopreservation, fertility donor gamete supply, and stem cell storage services. Consumers may halt or delay purchases of a product or service that is the subject of a claim or recall or has been counterfeited. We handle some risk with third-party carrier policies that are subject to deductibles and limitations. There can be no assurance that we will not experience material losses due to product liability claims or recalls, legal claims relating to our service offerings, or a decline in sales resulting from sales of counterfeit or other infringing products, in the future.</w:t>
      </w:r>
    </w:p>
    <w:p>
      <w:pPr>
        <w:spacing w:after="0" w:line="18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Ethical, legal and social concerns related to the use of genetic information, sperm and egg selection services and stem cells could reduce demand for our service offerings.</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Genetic testing, sperm and egg selection services and the use of stem cells have raised ethical, legal and social issues regarding privacy and the appropriate uses of information related to these services. Government authorities could, for social or other purposes, limit or regulate the use of genetic information or genetic testing or prohibit testing for genetic predisposition to certain conditions, particularly for those that have no known cure. They also could limit, regulate or prohibit (1) sperm and egg selection services or (2) the use of stem cells. Ethical, legal or social concerns may lead patients to refuse to use, or physicians to be reluctant to order or recommend, genetic tests, sperm and egg selection services and stem cell storage services even if permissible. These and other ethical, legal and social concerns may limit market acceptance and adoption of our service offerings or reduce the potential markets for our service offerings, either of which could have an adverse effect on our business, financial condition and results of operations.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repurchase activity during the three-month period ended January 31, 2022, was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Pr>
          <w:p>
            <w:pPr>
              <w:jc w:val="center"/>
              <w:ind w:right="202"/>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tcPr>
          <w:p>
            <w:pPr>
              <w:jc w:val="center"/>
              <w:ind w:right="182"/>
              <w:spacing w:after="0" w:line="135"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1"/>
                <w:szCs w:val="11"/>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 Paid Per</w:t>
            </w:r>
          </w:p>
        </w:tc>
        <w:tc>
          <w:tcPr>
            <w:tcW w:w="1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35"/>
        </w:trPr>
        <w:tc>
          <w:tcPr>
            <w:tcW w:w="3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88"/>
        </w:trPr>
        <w:tc>
          <w:tcPr>
            <w:tcW w:w="3320" w:type="dxa"/>
            <w:vAlign w:val="bottom"/>
            <w:gridSpan w:val="2"/>
            <w:vMerge w:val="continue"/>
          </w:tcPr>
          <w:p>
            <w:pPr>
              <w:spacing w:after="0"/>
              <w:rPr>
                <w:sz w:val="16"/>
                <w:szCs w:val="16"/>
                <w:color w:val="auto"/>
              </w:rPr>
            </w:pPr>
          </w:p>
        </w:tc>
        <w:tc>
          <w:tcPr>
            <w:tcW w:w="1800" w:type="dxa"/>
            <w:vAlign w:val="bottom"/>
          </w:tcPr>
          <w:p>
            <w:pPr>
              <w:jc w:val="right"/>
              <w:ind w:right="496"/>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24"/>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11/1/21 - 11/30/21</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334,827,542</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12/1/21 - 12/31/21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10,424</w:t>
            </w:r>
          </w:p>
        </w:tc>
        <w:tc>
          <w:tcPr>
            <w:tcW w:w="46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414.49</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10,424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2"/>
              <w:spacing w:after="0"/>
              <w:rPr>
                <w:sz w:val="20"/>
                <w:szCs w:val="20"/>
                <w:color w:val="auto"/>
              </w:rPr>
            </w:pPr>
            <w:r>
              <w:rPr>
                <w:rFonts w:ascii="Arial" w:cs="Arial" w:eastAsia="Arial" w:hAnsi="Arial"/>
                <w:sz w:val="18"/>
                <w:szCs w:val="18"/>
                <w:color w:val="auto"/>
              </w:rPr>
              <w:t>330,506,945</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1/1/22 - 1/31/22</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180,741</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410.18</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180,741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256,371,445</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transactions described in the table above represent the repurchase of the Company's common stock on the New York Stock Exchange as part of the share repurchase program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 to 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fiscal 2022, we repurchased 191.2 thousand shares of the Company’s common stock for $78.5 million, at an average purchase price of $410.41 per share. During the first quarter of fiscal 2021, we repurchased 69.6 thousand shares of the Company’s common stock for $24.8 million, at an average purchase price of $356.61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2022, approximately $256.4 million remained authorized under the 2012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4" w:name="page45"/>
    <w:bookmarkEnd w:id="44"/>
    <w:p>
      <w:pPr>
        <w:jc w:val="right"/>
        <w:ind w:right="23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ind w:left="20"/>
        <w:spacing w:after="0"/>
        <w:tabs>
          <w:tab w:leader="none" w:pos="860" w:val="left"/>
        </w:tabs>
        <w:rPr>
          <w:sz w:val="20"/>
          <w:szCs w:val="20"/>
          <w:color w:val="auto"/>
        </w:rPr>
      </w:pPr>
      <w:r>
        <w:rPr>
          <w:rFonts w:ascii="Arial" w:cs="Arial" w:eastAsia="Arial" w:hAnsi="Arial"/>
          <w:sz w:val="18"/>
          <w:szCs w:val="18"/>
          <w:u w:val="single" w:color="auto"/>
          <w:color w:val="auto"/>
        </w:rPr>
        <w:t>Number</w:t>
        <w:tab/>
        <w:t>Description</w:t>
      </w:r>
    </w:p>
    <w:p>
      <w:pPr>
        <w:spacing w:after="0" w:line="101" w:lineRule="exact"/>
        <w:rPr>
          <w:sz w:val="20"/>
          <w:szCs w:val="20"/>
          <w:color w:val="auto"/>
        </w:rPr>
      </w:pPr>
    </w:p>
    <w:p>
      <w:pPr>
        <w:ind w:left="880" w:right="380" w:hanging="687"/>
        <w:spacing w:after="0" w:line="235"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78">
        <w:r>
          <w:rPr>
            <w:rFonts w:ascii="Arial" w:cs="Arial" w:eastAsia="Arial" w:hAnsi="Arial"/>
            <w:sz w:val="18"/>
            <w:szCs w:val="18"/>
            <w:u w:val="single" w:color="auto"/>
            <w:color w:val="0000FF"/>
          </w:rPr>
          <w:t>The Cooper Companies, Inc. 2022 Incentive Payment Plan, incorporated by reference to Exhibit 10.1 of the Company's Current Report on</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Form 8-K filed on December 10, 2021.</w:t>
        </w:r>
      </w:hyperlink>
    </w:p>
    <w:p>
      <w:pPr>
        <w:spacing w:after="0" w:line="94" w:lineRule="exact"/>
        <w:rPr>
          <w:sz w:val="20"/>
          <w:szCs w:val="20"/>
          <w:color w:val="auto"/>
        </w:rPr>
      </w:pPr>
    </w:p>
    <w:p>
      <w:pPr>
        <w:ind w:left="880" w:right="80" w:hanging="687"/>
        <w:spacing w:after="0" w:line="22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79">
        <w:r>
          <w:rPr>
            <w:rFonts w:ascii="Arial" w:cs="Arial" w:eastAsia="Arial" w:hAnsi="Arial"/>
            <w:sz w:val="18"/>
            <w:szCs w:val="18"/>
            <w:u w:val="single" w:color="auto"/>
            <w:color w:val="0000FF"/>
          </w:rPr>
          <w:t>Term Loan Agreement, dated as of December 17, 2021, by and among The Cooper Companies, Inc., the lenders from time to time party</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thereto, and PNC Bank, National Association, as administrative agent, incorporated by reference to the Company's Current Report on Form 8-</w:t>
        </w:r>
      </w:hyperlink>
      <w:hyperlink r:id="rId79">
        <w:r>
          <w:rPr>
            <w:rFonts w:ascii="Arial" w:cs="Arial" w:eastAsia="Arial" w:hAnsi="Arial"/>
            <w:sz w:val="18"/>
            <w:szCs w:val="18"/>
            <w:u w:val="single" w:color="auto"/>
            <w:color w:val="0000FF"/>
          </w:rPr>
          <w:t>K filed on December 17, 2021.</w:t>
        </w:r>
      </w:hyperlink>
    </w:p>
    <w:p>
      <w:pPr>
        <w:spacing w:after="0" w:line="95" w:lineRule="exact"/>
        <w:rPr>
          <w:rFonts w:ascii="Arial" w:cs="Arial" w:eastAsia="Arial" w:hAnsi="Arial"/>
          <w:sz w:val="18"/>
          <w:szCs w:val="18"/>
          <w:u w:val="single" w:color="auto"/>
          <w:color w:val="0000FF"/>
        </w:rPr>
      </w:pPr>
    </w:p>
    <w:p>
      <w:pPr>
        <w:ind w:left="880" w:right="300" w:hanging="687"/>
        <w:spacing w:after="0" w:line="22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w:anchor="page48">
        <w:r>
          <w:rPr>
            <w:rFonts w:ascii="Arial" w:cs="Arial" w:eastAsia="Arial" w:hAnsi="Arial"/>
            <w:sz w:val="18"/>
            <w:szCs w:val="18"/>
            <w:u w:val="single" w:color="auto"/>
            <w:color w:val="0000FF"/>
          </w:rPr>
          <w:t>Amendment No.2 and Joinder, dated as of December 17, 2021, to Revolving Credit and Term Loan Agreement, dated as of April 1, 2020,</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among the Company, CooperVision International Limited, CooperVision Holding Kft., CooperSurgical Holdings Limited, the lenders party</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thereto, and KeyBank, National Association, as administrative agent.</w:t>
        </w:r>
      </w:hyperlink>
    </w:p>
    <w:p>
      <w:pPr>
        <w:spacing w:after="0" w:line="95" w:lineRule="exact"/>
        <w:rPr>
          <w:rFonts w:ascii="Arial" w:cs="Arial" w:eastAsia="Arial" w:hAnsi="Arial"/>
          <w:sz w:val="18"/>
          <w:szCs w:val="18"/>
          <w:u w:val="single" w:color="auto"/>
          <w:color w:val="0000FF"/>
        </w:rPr>
      </w:pPr>
    </w:p>
    <w:p>
      <w:pPr>
        <w:ind w:left="880" w:right="280" w:hanging="687"/>
        <w:spacing w:after="0" w:line="289"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80">
        <w:r>
          <w:rPr>
            <w:rFonts w:ascii="Arial" w:cs="Arial" w:eastAsia="Arial" w:hAnsi="Arial"/>
            <w:sz w:val="16"/>
            <w:szCs w:val="16"/>
            <w:u w:val="single" w:color="auto"/>
            <w:color w:val="0000FF"/>
          </w:rPr>
          <w:t>Letter of Intent by and among CooperSurgical, Inc. &amp; Cook Medical Holdings LLC (including the form of Purchase Agreement attached as</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Exhibit A thereto) incorporated by reference to Exhibit 2.1 of the Company’s Current Report on Form 8-K filed on February 7, 2022.</w:t>
        </w:r>
      </w:hyperlink>
    </w:p>
    <w:p>
      <w:pPr>
        <w:spacing w:after="0" w:line="56"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31">
        <w:r>
          <w:rPr>
            <w:rFonts w:ascii="Arial" w:cs="Arial" w:eastAsia="Arial" w:hAnsi="Arial"/>
            <w:sz w:val="16"/>
            <w:szCs w:val="16"/>
            <w:u w:val="single" w:color="auto"/>
            <w:color w:val="0000FF"/>
          </w:rPr>
          <w:t>Certification of the Chief Executive Officer, pursuant to Rule 13a-14(a) under the Securities Exchange Act of 1934</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32">
        <w:r>
          <w:rPr>
            <w:rFonts w:ascii="Arial" w:cs="Arial" w:eastAsia="Arial" w:hAnsi="Arial"/>
            <w:sz w:val="16"/>
            <w:szCs w:val="16"/>
            <w:u w:val="single" w:color="auto"/>
            <w:color w:val="0000FF"/>
          </w:rPr>
          <w:t>Certification of the Chief Financial Officer, pursuant to Rule 13a-14(a) under the Securities Exchange Act of 1934</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133">
        <w:r>
          <w:rPr>
            <w:rFonts w:ascii="Arial" w:cs="Arial" w:eastAsia="Arial" w:hAnsi="Arial"/>
            <w:sz w:val="16"/>
            <w:szCs w:val="16"/>
            <w:u w:val="single" w:color="auto"/>
            <w:color w:val="0000FF"/>
          </w:rPr>
          <w:t>Certification of the Chief Executive Officer, pursuant to 18 U.S.C. Section 1350</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134">
        <w:r>
          <w:rPr>
            <w:rFonts w:ascii="Arial" w:cs="Arial" w:eastAsia="Arial" w:hAnsi="Arial"/>
            <w:sz w:val="16"/>
            <w:szCs w:val="16"/>
            <w:u w:val="single" w:color="auto"/>
            <w:color w:val="0000FF"/>
          </w:rPr>
          <w:t>Certification of the Chief Financial Officer, pursuant to 18 U.S.C. Section 1350</w:t>
        </w:r>
      </w:hyperlink>
    </w:p>
    <w:p>
      <w:pPr>
        <w:spacing w:after="0" w:line="117" w:lineRule="exact"/>
        <w:rPr>
          <w:sz w:val="20"/>
          <w:szCs w:val="20"/>
          <w:color w:val="auto"/>
        </w:rPr>
      </w:pPr>
    </w:p>
    <w:p>
      <w:pPr>
        <w:jc w:val="both"/>
        <w:ind w:left="880" w:hanging="687"/>
        <w:spacing w:after="0" w:line="219" w:lineRule="auto"/>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The following materials from the Company's Quarterly Report on Form 10-Q for the three months period ended January 31, 2022 formatted in Inline XBRL (Extensible Business Reporting Language): (i) Consolidated Statements of Income and Comprehensive Income, (ii) Consolidated Condensed Balance Sheets, (iii) Consolidated Condensed Statements of Stockholders' Equity, (iv) Consolidated Condensed Statements of Cash Flows and (v) related Notes to Consolidated Condensed Financial Statements.</w:t>
      </w:r>
    </w:p>
    <w:p>
      <w:pPr>
        <w:spacing w:after="0" w:line="95"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46" w:name="page47"/>
    <w:bookmarkEnd w:id="46"/>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 March 4, 2022</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Brian G. Andrews</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Executive Vice President, Chief Financial Officer &amp; Treasurer</w:t>
      </w: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 March 4, 2022</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Agostino Ricupati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Accounting Officer &amp; Senior Vice President, Finance &amp; Tax</w:t>
      </w:r>
    </w:p>
    <w:p>
      <w:pPr>
        <w:spacing w:after="0" w:line="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340"/>
          </w:cols>
          <w:pgMar w:left="320" w:top="800" w:right="1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i w:val="1"/>
          <w:iCs w:val="1"/>
          <w:u w:val="single" w:color="auto"/>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AMENDMENT NO. 2 AND JOINDER TO</w:t>
      </w:r>
    </w:p>
    <w:p>
      <w:pPr>
        <w:jc w:val="center"/>
        <w:spacing w:after="0"/>
        <w:rPr>
          <w:sz w:val="20"/>
          <w:szCs w:val="20"/>
          <w:color w:val="auto"/>
        </w:rPr>
      </w:pPr>
      <w:r>
        <w:rPr>
          <w:rFonts w:ascii="Arial" w:cs="Arial" w:eastAsia="Arial" w:hAnsi="Arial"/>
          <w:sz w:val="20"/>
          <w:szCs w:val="20"/>
          <w:u w:val="single" w:color="auto"/>
          <w:color w:val="auto"/>
        </w:rPr>
        <w:t>REVOLVING CREDIT AND TERM LOAN AGREEMENT</w:t>
      </w:r>
    </w:p>
    <w:p>
      <w:pPr>
        <w:spacing w:after="0" w:line="186" w:lineRule="exact"/>
        <w:rPr>
          <w:sz w:val="20"/>
          <w:szCs w:val="20"/>
          <w:color w:val="auto"/>
        </w:rPr>
      </w:pPr>
    </w:p>
    <w:p>
      <w:pPr>
        <w:jc w:val="both"/>
        <w:ind w:firstLine="278"/>
        <w:spacing w:after="0" w:line="216" w:lineRule="auto"/>
        <w:rPr>
          <w:sz w:val="20"/>
          <w:szCs w:val="20"/>
          <w:color w:val="auto"/>
        </w:rPr>
      </w:pPr>
      <w:r>
        <w:rPr>
          <w:rFonts w:ascii="Arial" w:cs="Arial" w:eastAsia="Arial" w:hAnsi="Arial"/>
          <w:sz w:val="19"/>
          <w:szCs w:val="19"/>
          <w:color w:val="auto"/>
        </w:rPr>
        <w:t>This AMENDMENT NO. 2 AND JOINDER TO REVOLVING CREDIT AND TERM LOAN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as of December 17, 2021 among (i) THE COOPER COMPANIES,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(ii) COOPERVISION INTERNATIONAL LIMITED, a private limited company registered in England and Wales with company registration number 12210296 (“</w:t>
      </w:r>
      <w:r>
        <w:rPr>
          <w:rFonts w:ascii="Arial" w:cs="Arial" w:eastAsia="Arial" w:hAnsi="Arial"/>
          <w:sz w:val="19"/>
          <w:szCs w:val="19"/>
          <w:u w:val="single" w:color="auto"/>
          <w:color w:val="auto"/>
        </w:rPr>
        <w:t>Cooper UK</w:t>
      </w:r>
      <w:r>
        <w:rPr>
          <w:rFonts w:ascii="Arial" w:cs="Arial" w:eastAsia="Arial" w:hAnsi="Arial"/>
          <w:sz w:val="19"/>
          <w:szCs w:val="19"/>
          <w:color w:val="auto"/>
        </w:rPr>
        <w:t>”), (iii) COOPERVISION HOLDING KFT., a Hungarian limited liability company (</w:t>
      </w:r>
      <w:r>
        <w:rPr>
          <w:rFonts w:ascii="Arial" w:cs="Arial" w:eastAsia="Arial" w:hAnsi="Arial"/>
          <w:sz w:val="19"/>
          <w:szCs w:val="19"/>
          <w:i w:val="1"/>
          <w:iCs w:val="1"/>
          <w:color w:val="auto"/>
        </w:rPr>
        <w:t>korlátolt felelősségű</w:t>
      </w:r>
      <w:r>
        <w:rPr>
          <w:rFonts w:ascii="Arial" w:cs="Arial" w:eastAsia="Arial" w:hAnsi="Arial"/>
          <w:sz w:val="19"/>
          <w:szCs w:val="19"/>
          <w:color w:val="auto"/>
        </w:rPr>
        <w:t xml:space="preserve"> </w:t>
      </w:r>
      <w:r>
        <w:rPr>
          <w:rFonts w:ascii="Arial" w:cs="Arial" w:eastAsia="Arial" w:hAnsi="Arial"/>
          <w:sz w:val="19"/>
          <w:szCs w:val="19"/>
          <w:i w:val="1"/>
          <w:iCs w:val="1"/>
          <w:color w:val="auto"/>
        </w:rPr>
        <w:t>társaság</w:t>
      </w:r>
      <w:r>
        <w:rPr>
          <w:rFonts w:ascii="Arial" w:cs="Arial" w:eastAsia="Arial" w:hAnsi="Arial"/>
          <w:sz w:val="19"/>
          <w:szCs w:val="19"/>
          <w:color w:val="auto"/>
        </w:rPr>
        <w:t>) (the “</w:t>
      </w:r>
      <w:r>
        <w:rPr>
          <w:rFonts w:ascii="Arial" w:cs="Arial" w:eastAsia="Arial" w:hAnsi="Arial"/>
          <w:sz w:val="19"/>
          <w:szCs w:val="19"/>
          <w:u w:val="single" w:color="auto"/>
          <w:color w:val="auto"/>
        </w:rPr>
        <w:t>Released Borrower</w:t>
      </w:r>
      <w:r>
        <w:rPr>
          <w:rFonts w:ascii="Arial" w:cs="Arial" w:eastAsia="Arial" w:hAnsi="Arial"/>
          <w:sz w:val="19"/>
          <w:szCs w:val="19"/>
          <w:color w:val="auto"/>
        </w:rPr>
        <w:t>” and, together with the Company and Cooper UK, the “</w:t>
      </w:r>
      <w:r>
        <w:rPr>
          <w:rFonts w:ascii="Arial" w:cs="Arial" w:eastAsia="Arial" w:hAnsi="Arial"/>
          <w:sz w:val="19"/>
          <w:szCs w:val="19"/>
          <w:u w:val="single" w:color="auto"/>
          <w:color w:val="auto"/>
        </w:rPr>
        <w:t>Existing Borrowers</w:t>
      </w:r>
      <w:r>
        <w:rPr>
          <w:rFonts w:ascii="Arial" w:cs="Arial" w:eastAsia="Arial" w:hAnsi="Arial"/>
          <w:sz w:val="19"/>
          <w:szCs w:val="19"/>
          <w:color w:val="auto"/>
        </w:rPr>
        <w:t>”), (iv) COOPERSURGICAL</w:t>
      </w:r>
      <w:r>
        <w:rPr>
          <w:rFonts w:ascii="Arial" w:cs="Arial" w:eastAsia="Arial" w:hAnsi="Arial"/>
          <w:sz w:val="19"/>
          <w:szCs w:val="19"/>
          <w:i w:val="1"/>
          <w:iCs w:val="1"/>
          <w:color w:val="auto"/>
        </w:rPr>
        <w:t xml:space="preserve"> </w:t>
      </w:r>
      <w:r>
        <w:rPr>
          <w:rFonts w:ascii="Arial" w:cs="Arial" w:eastAsia="Arial" w:hAnsi="Arial"/>
          <w:sz w:val="19"/>
          <w:szCs w:val="19"/>
          <w:color w:val="auto"/>
        </w:rPr>
        <w:t>HOLDINGS LIMITED, a private limited company registered in England and Wales with company registration number 09877160 (the “</w:t>
      </w:r>
      <w:r>
        <w:rPr>
          <w:rFonts w:ascii="Arial" w:cs="Arial" w:eastAsia="Arial" w:hAnsi="Arial"/>
          <w:sz w:val="19"/>
          <w:szCs w:val="19"/>
          <w:u w:val="single" w:color="auto"/>
          <w:color w:val="auto"/>
        </w:rPr>
        <w:t>New</w:t>
      </w:r>
      <w:r>
        <w:rPr>
          <w:rFonts w:ascii="Arial" w:cs="Arial" w:eastAsia="Arial" w:hAnsi="Arial"/>
          <w:sz w:val="19"/>
          <w:szCs w:val="19"/>
          <w:color w:val="auto"/>
        </w:rPr>
        <w:t xml:space="preserve"> </w:t>
      </w:r>
      <w:r>
        <w:rPr>
          <w:rFonts w:ascii="Arial" w:cs="Arial" w:eastAsia="Arial" w:hAnsi="Arial"/>
          <w:sz w:val="19"/>
          <w:szCs w:val="19"/>
          <w:u w:val="single" w:color="auto"/>
          <w:color w:val="auto"/>
        </w:rPr>
        <w:t>Borrower</w:t>
      </w:r>
      <w:r>
        <w:rPr>
          <w:rFonts w:ascii="Arial" w:cs="Arial" w:eastAsia="Arial" w:hAnsi="Arial"/>
          <w:sz w:val="19"/>
          <w:szCs w:val="19"/>
          <w:color w:val="auto"/>
        </w:rPr>
        <w:t>”), (v) the Lenders (defined below) executing signatures page hereto and (vii) KEYBANK NATIONAL ASSOCIATION, as the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r>
        <w:rPr>
          <w:rFonts w:ascii="Arial" w:cs="Arial" w:eastAsia="Arial" w:hAnsi="Arial"/>
          <w:sz w:val="20"/>
          <w:szCs w:val="20"/>
          <w:color w:val="auto"/>
        </w:rPr>
        <w:t>:</w:t>
      </w:r>
    </w:p>
    <w:p>
      <w:pPr>
        <w:spacing w:after="0" w:line="202" w:lineRule="exact"/>
        <w:rPr>
          <w:sz w:val="20"/>
          <w:szCs w:val="20"/>
          <w:color w:val="auto"/>
        </w:rPr>
      </w:pPr>
    </w:p>
    <w:p>
      <w:pPr>
        <w:jc w:val="both"/>
        <w:ind w:firstLine="656"/>
        <w:spacing w:after="0" w:line="210" w:lineRule="auto"/>
        <w:tabs>
          <w:tab w:leader="none" w:pos="1053" w:val="left"/>
        </w:tabs>
        <w:numPr>
          <w:ilvl w:val="0"/>
          <w:numId w:val="32"/>
        </w:numPr>
        <w:rPr>
          <w:rFonts w:ascii="Arial" w:cs="Arial" w:eastAsia="Arial" w:hAnsi="Arial"/>
          <w:sz w:val="20"/>
          <w:szCs w:val="20"/>
          <w:color w:val="auto"/>
        </w:rPr>
      </w:pPr>
      <w:r>
        <w:rPr>
          <w:rFonts w:ascii="Arial" w:cs="Arial" w:eastAsia="Arial" w:hAnsi="Arial"/>
          <w:sz w:val="20"/>
          <w:szCs w:val="20"/>
          <w:color w:val="auto"/>
        </w:rPr>
        <w:t>WHEREAS, the Existing Borrowers, the Administrative Agent and the lenders party thereto (each, a “</w:t>
      </w:r>
      <w:r>
        <w:rPr>
          <w:rFonts w:ascii="Arial" w:cs="Arial" w:eastAsia="Arial" w:hAnsi="Arial"/>
          <w:sz w:val="20"/>
          <w:szCs w:val="20"/>
          <w:u w:val="single" w:color="auto"/>
          <w:color w:val="auto"/>
        </w:rPr>
        <w:t>Lender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are parties to the Revolving Credit and Term Loan Agreement, dated as of April 1, 2020, as amended by the Amendment No. 1 and Joinder, dated as of October 20, 2020 (and as may be further amended, restated, amended and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 the Credit Agreement as amended by this Amendment, the “</w:t>
      </w:r>
      <w:r>
        <w:rPr>
          <w:rFonts w:ascii="Arial" w:cs="Arial" w:eastAsia="Arial" w:hAnsi="Arial"/>
          <w:sz w:val="20"/>
          <w:szCs w:val="20"/>
          <w:u w:val="single" w:color="auto"/>
          <w:color w:val="auto"/>
        </w:rPr>
        <w:t>Amended 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ind w:firstLine="656"/>
        <w:spacing w:after="0" w:line="269" w:lineRule="auto"/>
        <w:tabs>
          <w:tab w:leader="none" w:pos="10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WHEREAS, the Existing Borrowers have requested that the Credit Agreement be modified to release the Released Borrower from being a Revolving Borrower and a Loan Party for all purposes under the Credit Agreement and the other Loan Documents;</w:t>
      </w:r>
    </w:p>
    <w:p>
      <w:pPr>
        <w:spacing w:after="0" w:line="130" w:lineRule="exact"/>
        <w:rPr>
          <w:rFonts w:ascii="Arial" w:cs="Arial" w:eastAsia="Arial" w:hAnsi="Arial"/>
          <w:sz w:val="18"/>
          <w:szCs w:val="18"/>
          <w:color w:val="auto"/>
        </w:rPr>
      </w:pPr>
    </w:p>
    <w:p>
      <w:pPr>
        <w:ind w:firstLine="656"/>
        <w:spacing w:after="0" w:line="229" w:lineRule="auto"/>
        <w:tabs>
          <w:tab w:leader="none" w:pos="1072" w:val="left"/>
        </w:tabs>
        <w:numPr>
          <w:ilvl w:val="0"/>
          <w:numId w:val="32"/>
        </w:numPr>
        <w:rPr>
          <w:rFonts w:ascii="Arial" w:cs="Arial" w:eastAsia="Arial" w:hAnsi="Arial"/>
          <w:sz w:val="20"/>
          <w:szCs w:val="20"/>
          <w:color w:val="auto"/>
        </w:rPr>
      </w:pPr>
      <w:r>
        <w:rPr>
          <w:rFonts w:ascii="Arial" w:cs="Arial" w:eastAsia="Arial" w:hAnsi="Arial"/>
          <w:sz w:val="20"/>
          <w:szCs w:val="20"/>
          <w:color w:val="auto"/>
        </w:rPr>
        <w:t>WHEREAS, substantially concurrently with the release of the Released Borrower contemplated hereunder, the New Borrower shall be joined as an Additional Revolving Borrower pursuant to Section 2.21 of the Credit Agreement;</w:t>
      </w:r>
    </w:p>
    <w:p>
      <w:pPr>
        <w:spacing w:after="0" w:line="155" w:lineRule="exact"/>
        <w:rPr>
          <w:rFonts w:ascii="Arial" w:cs="Arial" w:eastAsia="Arial" w:hAnsi="Arial"/>
          <w:sz w:val="20"/>
          <w:szCs w:val="20"/>
          <w:color w:val="auto"/>
        </w:rPr>
      </w:pPr>
    </w:p>
    <w:p>
      <w:pPr>
        <w:ind w:right="20" w:firstLine="656"/>
        <w:spacing w:after="0" w:line="269" w:lineRule="auto"/>
        <w:tabs>
          <w:tab w:leader="none" w:pos="11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WHEREAS, the Borrowers, the Administrative Agent and the Lenders party hereto, which constitute the Required Lenders, desire to amend the Credit Agreement to, among other things, modify certain provisions thereof in connection with the foregoing.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In consideration of the premises and mutual covenants herein and for other valuable consideration, the Borrowers, the Administrative Agent and the Lenders party hereto agree as follows: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Definitions</w:t>
      </w:r>
      <w:r>
        <w:rPr>
          <w:rFonts w:ascii="Arial" w:cs="Arial" w:eastAsia="Arial" w:hAnsi="Arial"/>
          <w:sz w:val="20"/>
          <w:szCs w:val="20"/>
          <w:color w:val="auto"/>
        </w:rPr>
        <w:t>. Unless otherwise defined herein, each capitalized term used in this Amendment and not defined herein shall be defined in accordance with the Credit Agreement.</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Amendments</w:t>
      </w:r>
      <w:r>
        <w:rPr>
          <w:rFonts w:ascii="Arial" w:cs="Arial" w:eastAsia="Arial" w:hAnsi="Arial"/>
          <w:sz w:val="20"/>
          <w:szCs w:val="20"/>
          <w:color w:val="auto"/>
        </w:rPr>
        <w:t xml:space="preserve">. Subject to the satisfaction of the conditions set forth in Section 5 of this Amendment, as of the Effective Date, the Credit Agreement is hereby amended by deleting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(ii) adding the double underlined text (indicated textually in the same manner as the following example: </w:t>
      </w:r>
      <w:r>
        <w:rPr>
          <w:rFonts w:ascii="Arial" w:cs="Arial" w:eastAsia="Arial" w:hAnsi="Arial"/>
          <w:sz w:val="20"/>
          <w:szCs w:val="20"/>
          <w:u w:val="single" w:color="auto"/>
          <w:color w:val="074BB9"/>
        </w:rPr>
        <w:t>double-underlined text</w:t>
      </w:r>
      <w:r>
        <w:rPr>
          <w:rFonts w:ascii="Arial" w:cs="Arial" w:eastAsia="Arial" w:hAnsi="Arial"/>
          <w:sz w:val="20"/>
          <w:szCs w:val="20"/>
          <w:color w:val="auto"/>
        </w:rPr>
        <w:t>) as set forth in the Amended Credit Agreement attached hereto as Annex I.</w:t>
      </w:r>
    </w:p>
    <w:p>
      <w:pPr>
        <w:spacing w:after="0" w:line="15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Joinder</w:t>
      </w:r>
      <w:r>
        <w:rPr>
          <w:rFonts w:ascii="Arial" w:cs="Arial" w:eastAsia="Arial" w:hAnsi="Arial"/>
          <w:sz w:val="18"/>
          <w:szCs w:val="18"/>
          <w:color w:val="auto"/>
        </w:rPr>
        <w:t>. Subject to the effectiveness of this Amendment pursuant to Section 5 of this Amendment and the satisfaction of the conditions precedent set forth in Section 6 of this Amendment, the New Borrower hereby acknowledges, agrees and confirms that, by its execution of this Amendment, it shall become an Additional Revolving Borrower under the Credit Agreement in accordance with Section 2.21 of the Credit Agreement and shall be fully bound by, and subject to, all of the covenants, terms, obligations (including, without limitation, all payment obligations) and conditions of the Credit Agreement applicable to a “Revolving Borrower,” “Borrower,” or a “Loan Party” as though originally party thereto as a “Revolving Borrower,” “Borrower” and a “Loan Party”, and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|US-DOCS\128030375.4||</w:t>
      </w:r>
    </w:p>
    <w:p>
      <w:pPr>
        <w:spacing w:after="0"/>
        <w:rPr>
          <w:sz w:val="20"/>
          <w:szCs w:val="20"/>
          <w:color w:val="auto"/>
        </w:rPr>
      </w:pPr>
      <w:r>
        <w:rPr>
          <w:rFonts w:ascii="Arial" w:cs="Arial" w:eastAsia="Arial" w:hAnsi="Arial"/>
          <w:sz w:val="14"/>
          <w:szCs w:val="14"/>
          <w:color w:val="auto"/>
        </w:rPr>
        <w:t>NAI-1523243933v6</w:t>
      </w:r>
    </w:p>
    <w:p>
      <w:pPr>
        <w:sectPr>
          <w:pgSz w:w="11900" w:h="16838" w:orient="portrait"/>
          <w:cols w:equalWidth="0" w:num="1">
            <w:col w:w="11240"/>
          </w:cols>
          <w:pgMar w:left="320" w:top="104" w:right="339" w:bottom="1440" w:gutter="0" w:footer="0" w:header="0"/>
        </w:sectPr>
      </w:pPr>
    </w:p>
    <w:bookmarkStart w:id="48" w:name="page49"/>
    <w:bookmarkEnd w:id="48"/>
    <w:p>
      <w:pPr>
        <w:jc w:val="both"/>
        <w:spacing w:after="0" w:line="217" w:lineRule="auto"/>
        <w:rPr>
          <w:sz w:val="20"/>
          <w:szCs w:val="20"/>
          <w:color w:val="auto"/>
        </w:rPr>
      </w:pPr>
      <w:r>
        <w:rPr>
          <w:rFonts w:ascii="Arial" w:cs="Arial" w:eastAsia="Arial" w:hAnsi="Arial"/>
          <w:sz w:val="19"/>
          <w:szCs w:val="19"/>
          <w:color w:val="auto"/>
        </w:rPr>
        <w:t>Borrower shall be deemed a “Revolving Borrower,” a “Borrower” and a “Loan Party” for all purposes of the Credit Agreement and the other Loan Documents from and after the date hereof. By its signature below, each Lender party hereto and the Administrative Agent hereby acknowledges and agrees that (a) the Company has requested the designation of the New Borrower as an Additional Revolving Borrower in accordance with Section 2.21(a) of the Credit Agreement and (b) this Amendment constitutes an Additional Revolving Borrower Joinder Agreement in accordance with Section 2.21(c)(B) of the Credit Agreement. The New Borrower acknowledges and confirms that it has received a copy of the Credit Agreement, this Amendment, the other Loan Documents and all exhibits, annexes and schedules thereto and has reviewed and understands all of the terms and provisions thereof.</w:t>
      </w:r>
    </w:p>
    <w:p>
      <w:pPr>
        <w:spacing w:after="0" w:line="15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Release</w:t>
      </w:r>
      <w:r>
        <w:rPr>
          <w:rFonts w:ascii="Arial" w:cs="Arial" w:eastAsia="Arial" w:hAnsi="Arial"/>
          <w:sz w:val="20"/>
          <w:szCs w:val="20"/>
          <w:color w:val="auto"/>
        </w:rPr>
        <w:t>. The Lenders party hereto, which constitute the Required Lenders, hereby request and direct the Administrative Agent to release the Released Borrower in full from all of its obligations as a “Revolving Borrower” and a “Loan Party” under the Credit Agreement and each other Loan Document, and the Lenders party hereto and the Administrative Agent hereby agree that such release of the Released Borrower shall be effective automatically upon the effectiveness of this Amendment pursuant to Section 5 of this Amendment without any further action by any person.</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Effectiveness of Amendment and Release</w:t>
      </w:r>
      <w:r>
        <w:rPr>
          <w:rFonts w:ascii="Arial" w:cs="Arial" w:eastAsia="Arial" w:hAnsi="Arial"/>
          <w:sz w:val="20"/>
          <w:szCs w:val="20"/>
          <w:color w:val="auto"/>
        </w:rPr>
        <w:t>. Each of the modifications set forth in the Amended Credit Agreement and the release in Section 4 of this Amendment shall be effective on the date upon which each of the following conditions precedent has been satisfied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56" w:lineRule="exact"/>
        <w:rPr>
          <w:sz w:val="20"/>
          <w:szCs w:val="20"/>
          <w:color w:val="auto"/>
        </w:rPr>
      </w:pPr>
    </w:p>
    <w:p>
      <w:pPr>
        <w:jc w:val="both"/>
        <w:ind w:left="660" w:firstLine="198"/>
        <w:spacing w:after="0" w:line="218" w:lineRule="auto"/>
        <w:tabs>
          <w:tab w:leader="none" w:pos="1281"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This Amendment shall have been executed by the Existing Borrowers (including the Released Borrower), the New Borrower, each Subsidiary Guarantor, the Administrative Agent and the Required Lenders, and counterparts hereof as so executed shall have been delivered to the Administrative Agent.</w:t>
      </w:r>
    </w:p>
    <w:p>
      <w:pPr>
        <w:spacing w:after="0" w:line="156" w:lineRule="exact"/>
        <w:rPr>
          <w:rFonts w:ascii="Arial" w:cs="Arial" w:eastAsia="Arial" w:hAnsi="Arial"/>
          <w:sz w:val="20"/>
          <w:szCs w:val="20"/>
          <w:color w:val="auto"/>
        </w:rPr>
      </w:pPr>
    </w:p>
    <w:p>
      <w:pPr>
        <w:ind w:left="660" w:firstLine="222"/>
        <w:spacing w:after="0" w:line="229" w:lineRule="auto"/>
        <w:tabs>
          <w:tab w:leader="none" w:pos="1339"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There shall be no outstanding Revolving Loans made to the Released Borrower and there shall be no outstanding Letters of Credit issued in respect of the Released Borrower as the applicant for such Letter of Credit.</w:t>
      </w:r>
    </w:p>
    <w:p>
      <w:pPr>
        <w:spacing w:after="0" w:line="155" w:lineRule="exact"/>
        <w:rPr>
          <w:rFonts w:ascii="Arial" w:cs="Arial" w:eastAsia="Arial" w:hAnsi="Arial"/>
          <w:sz w:val="20"/>
          <w:szCs w:val="20"/>
          <w:color w:val="auto"/>
        </w:rPr>
      </w:pPr>
    </w:p>
    <w:p>
      <w:pPr>
        <w:jc w:val="both"/>
        <w:ind w:left="660" w:firstLine="246"/>
        <w:spacing w:after="0" w:line="213" w:lineRule="auto"/>
        <w:tabs>
          <w:tab w:leader="none" w:pos="1375" w:val="left"/>
        </w:tabs>
        <w:numPr>
          <w:ilvl w:val="2"/>
          <w:numId w:val="33"/>
        </w:numPr>
        <w:rPr>
          <w:rFonts w:ascii="Arial" w:cs="Arial" w:eastAsia="Arial" w:hAnsi="Arial"/>
          <w:sz w:val="20"/>
          <w:szCs w:val="20"/>
          <w:color w:val="auto"/>
        </w:rPr>
      </w:pPr>
      <w:r>
        <w:rPr>
          <w:rFonts w:ascii="Arial" w:cs="Arial" w:eastAsia="Arial" w:hAnsi="Arial"/>
          <w:sz w:val="20"/>
          <w:szCs w:val="20"/>
          <w:color w:val="auto"/>
        </w:rPr>
        <w:t>The Administrative Agent shall have received all reasonable out of pocket expenses incurred by the Administrative Agent (including the reasonable fees, charges and disbursements of its outside counsel, to the extent invoiced on or prior to the Effective Date) in connection with the preparation, negotiation and effectiveness of this Amendment and the other documents being executed or delivered in connection herewith.</w:t>
      </w:r>
    </w:p>
    <w:p>
      <w:pPr>
        <w:spacing w:after="0" w:line="13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9"/>
          <w:szCs w:val="19"/>
          <w:u w:val="single" w:color="auto"/>
          <w:color w:val="auto"/>
        </w:rPr>
        <w:t>Effectiveness of Joinder</w:t>
      </w:r>
      <w:r>
        <w:rPr>
          <w:rFonts w:ascii="Arial" w:cs="Arial" w:eastAsia="Arial" w:hAnsi="Arial"/>
          <w:sz w:val="19"/>
          <w:szCs w:val="19"/>
          <w:color w:val="auto"/>
        </w:rPr>
        <w:t>. The joinder of the New Borrower as an Additional Revolving Borrower pursuant to</w:t>
      </w:r>
    </w:p>
    <w:p>
      <w:pPr>
        <w:spacing w:after="0"/>
        <w:rPr>
          <w:sz w:val="20"/>
          <w:szCs w:val="20"/>
          <w:color w:val="auto"/>
        </w:rPr>
      </w:pPr>
      <w:r>
        <w:rPr>
          <w:rFonts w:ascii="Arial" w:cs="Arial" w:eastAsia="Arial" w:hAnsi="Arial"/>
          <w:sz w:val="19"/>
          <w:szCs w:val="19"/>
          <w:color w:val="auto"/>
        </w:rPr>
        <w:t>Section 3 of this Amendment shall be effective on the date upon which each of the following conditions precedent has been satisfied:</w:t>
      </w:r>
    </w:p>
    <w:p>
      <w:pPr>
        <w:spacing w:after="0" w:line="171" w:lineRule="exact"/>
        <w:rPr>
          <w:sz w:val="20"/>
          <w:szCs w:val="20"/>
          <w:color w:val="auto"/>
        </w:rPr>
      </w:pPr>
    </w:p>
    <w:p>
      <w:pPr>
        <w:jc w:val="both"/>
        <w:ind w:left="660" w:firstLine="260"/>
        <w:spacing w:after="0" w:line="218" w:lineRule="auto"/>
        <w:tabs>
          <w:tab w:leader="none" w:pos="1408" w:val="left"/>
        </w:tabs>
        <w:numPr>
          <w:ilvl w:val="1"/>
          <w:numId w:val="34"/>
        </w:numPr>
        <w:rPr>
          <w:rFonts w:ascii="Arial" w:cs="Arial" w:eastAsia="Arial" w:hAnsi="Arial"/>
          <w:sz w:val="20"/>
          <w:szCs w:val="20"/>
          <w:color w:val="auto"/>
        </w:rPr>
      </w:pPr>
      <w:r>
        <w:rPr>
          <w:rFonts w:ascii="Arial" w:cs="Arial" w:eastAsia="Arial" w:hAnsi="Arial"/>
          <w:sz w:val="20"/>
          <w:szCs w:val="20"/>
          <w:color w:val="auto"/>
        </w:rPr>
        <w:t>Immediately prior to and immediately after giving effect to the joinder of the New Borrower as an Additional Revolving Borrower, no Default has occurred and is continuing, and the Administrative Agent shall have received a certificate of an authorized officer of the Company certifying as to the satisfaction of such condition.</w:t>
      </w:r>
    </w:p>
    <w:p>
      <w:pPr>
        <w:spacing w:after="0" w:line="156" w:lineRule="exact"/>
        <w:rPr>
          <w:rFonts w:ascii="Arial" w:cs="Arial" w:eastAsia="Arial" w:hAnsi="Arial"/>
          <w:sz w:val="20"/>
          <w:szCs w:val="20"/>
          <w:color w:val="auto"/>
        </w:rPr>
      </w:pPr>
    </w:p>
    <w:p>
      <w:pPr>
        <w:ind w:left="1720" w:hanging="416"/>
        <w:spacing w:after="0"/>
        <w:tabs>
          <w:tab w:leader="none" w:pos="1720" w:val="left"/>
        </w:tabs>
        <w:numPr>
          <w:ilvl w:val="2"/>
          <w:numId w:val="34"/>
        </w:numPr>
        <w:rPr>
          <w:rFonts w:ascii="Arial" w:cs="Arial" w:eastAsia="Arial" w:hAnsi="Arial"/>
          <w:sz w:val="20"/>
          <w:szCs w:val="20"/>
          <w:color w:val="auto"/>
        </w:rPr>
      </w:pPr>
      <w:r>
        <w:rPr>
          <w:rFonts w:ascii="Arial" w:cs="Arial" w:eastAsia="Arial" w:hAnsi="Arial"/>
          <w:sz w:val="20"/>
          <w:szCs w:val="20"/>
          <w:color w:val="auto"/>
        </w:rPr>
        <w:t>The Administrative Agent shall have received this Amendment, duly executed by the New Borrower.</w:t>
      </w:r>
    </w:p>
    <w:p>
      <w:pPr>
        <w:spacing w:after="0" w:line="175" w:lineRule="exact"/>
        <w:rPr>
          <w:rFonts w:ascii="Arial" w:cs="Arial" w:eastAsia="Arial" w:hAnsi="Arial"/>
          <w:sz w:val="20"/>
          <w:szCs w:val="20"/>
          <w:color w:val="auto"/>
        </w:rPr>
      </w:pPr>
    </w:p>
    <w:p>
      <w:pPr>
        <w:ind w:left="660" w:firstLine="644"/>
        <w:spacing w:after="0" w:line="229" w:lineRule="auto"/>
        <w:tabs>
          <w:tab w:leader="none" w:pos="1746" w:val="left"/>
        </w:tabs>
        <w:numPr>
          <w:ilvl w:val="2"/>
          <w:numId w:val="34"/>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from the New Borrower duly executed Notes in favor of each Lender requesting a Note at least three (3) Business Days prior to the Effective Date.</w:t>
      </w:r>
    </w:p>
    <w:p>
      <w:pPr>
        <w:spacing w:after="0" w:line="155" w:lineRule="exact"/>
        <w:rPr>
          <w:rFonts w:ascii="Arial" w:cs="Arial" w:eastAsia="Arial" w:hAnsi="Arial"/>
          <w:sz w:val="20"/>
          <w:szCs w:val="20"/>
          <w:color w:val="auto"/>
        </w:rPr>
      </w:pPr>
    </w:p>
    <w:p>
      <w:pPr>
        <w:jc w:val="both"/>
        <w:ind w:left="660" w:firstLine="232"/>
        <w:spacing w:after="0" w:line="213" w:lineRule="auto"/>
        <w:tabs>
          <w:tab w:leader="none" w:pos="1359"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Administrative Agent shall have received such proof of corporate or other action and other documents, in each case in respect of the New Borrower, as are consistent with those delivered by Cooper UK pursuant to Section 9(d) of Amendment No. 1 on the Amendment No. 1 Effective Date, all in form, content and scope substantially consistent with those delivered by Cooper UK on the Amendment No. 1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NAI-1523243933v6</w:t>
      </w:r>
    </w:p>
    <w:p>
      <w:pPr>
        <w:sectPr>
          <w:pgSz w:w="11900" w:h="16838" w:orient="portrait"/>
          <w:cols w:equalWidth="0" w:num="1">
            <w:col w:w="11240"/>
          </w:cols>
          <w:pgMar w:left="320" w:top="1405" w:right="339" w:bottom="1440" w:gutter="0" w:footer="0" w:header="0"/>
        </w:sectPr>
      </w:pPr>
    </w:p>
    <w:bookmarkStart w:id="49" w:name="page50"/>
    <w:bookmarkEnd w:id="49"/>
    <w:p>
      <w:pPr>
        <w:jc w:val="both"/>
        <w:ind w:left="660" w:firstLine="194"/>
        <w:spacing w:after="0" w:line="218" w:lineRule="auto"/>
        <w:tabs>
          <w:tab w:leader="none" w:pos="127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Administrative Agent shall have received a favorable written opinion with respect to the New Borrower (addressed to the Administrative Agent and the Lenders and dated the Effective Date) from Jones Day, as counsel for the Administrative Agent, in form and substance reasonably acceptable to the Administrative Agent.</w:t>
      </w:r>
    </w:p>
    <w:p>
      <w:pPr>
        <w:spacing w:after="0" w:line="156" w:lineRule="exact"/>
        <w:rPr>
          <w:rFonts w:ascii="Arial" w:cs="Arial" w:eastAsia="Arial" w:hAnsi="Arial"/>
          <w:sz w:val="20"/>
          <w:szCs w:val="20"/>
          <w:color w:val="auto"/>
        </w:rPr>
      </w:pPr>
    </w:p>
    <w:p>
      <w:pPr>
        <w:ind w:left="660" w:firstLine="214"/>
        <w:spacing w:after="0" w:line="229" w:lineRule="auto"/>
        <w:tabs>
          <w:tab w:leader="none" w:pos="129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Administrative Agent shall have received a properly completed and signed IRS Form W-8 or W-9, as applicable, for the New Borrower.</w:t>
      </w:r>
    </w:p>
    <w:p>
      <w:pPr>
        <w:spacing w:after="0" w:line="155" w:lineRule="exact"/>
        <w:rPr>
          <w:rFonts w:ascii="Arial" w:cs="Arial" w:eastAsia="Arial" w:hAnsi="Arial"/>
          <w:sz w:val="20"/>
          <w:szCs w:val="20"/>
          <w:color w:val="auto"/>
        </w:rPr>
      </w:pPr>
    </w:p>
    <w:p>
      <w:pPr>
        <w:jc w:val="both"/>
        <w:ind w:left="660" w:firstLine="294"/>
        <w:spacing w:after="0" w:line="213" w:lineRule="auto"/>
        <w:tabs>
          <w:tab w:leader="none" w:pos="1483" w:val="left"/>
        </w:tabs>
        <w:numPr>
          <w:ilvl w:val="1"/>
          <w:numId w:val="36"/>
        </w:numPr>
        <w:rPr>
          <w:rFonts w:ascii="Arial" w:cs="Arial" w:eastAsia="Arial" w:hAnsi="Arial"/>
          <w:sz w:val="20"/>
          <w:szCs w:val="20"/>
          <w:color w:val="auto"/>
        </w:rPr>
      </w:pPr>
      <w:r>
        <w:rPr>
          <w:rFonts w:ascii="Arial" w:cs="Arial" w:eastAsia="Arial" w:hAnsi="Arial"/>
          <w:sz w:val="20"/>
          <w:szCs w:val="20"/>
          <w:color w:val="auto"/>
        </w:rPr>
        <w:t>To the extent requested by the Administrative Agent or any Lender at least three (3) Business Days in advance of the effectiveness of such joinder, the Administrative Agent or such Lender shall have received all documentation and other information with respect to the New Borrower required by regulatory authorities under applicable Sanctions Laws and Regulations or the Beneficial Ownership Regulation.</w:t>
      </w:r>
    </w:p>
    <w:p>
      <w:pPr>
        <w:spacing w:after="0" w:line="156"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Borrower (which shall include the New Borrower) and each Subsidiary Guarantor, by signing below, hereby represents and warrants to the Administrative Agent and the Lenders that:</w:t>
      </w:r>
    </w:p>
    <w:p>
      <w:pPr>
        <w:spacing w:after="0" w:line="155" w:lineRule="exact"/>
        <w:rPr>
          <w:sz w:val="20"/>
          <w:szCs w:val="20"/>
          <w:color w:val="auto"/>
        </w:rPr>
      </w:pPr>
    </w:p>
    <w:p>
      <w:pPr>
        <w:ind w:left="1280" w:hanging="426"/>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Borrower and each Subsidiary Guarantor has the legal power and authority to execute and deliver this Amendment;</w:t>
      </w:r>
    </w:p>
    <w:p>
      <w:pPr>
        <w:spacing w:after="0" w:line="198" w:lineRule="exact"/>
        <w:rPr>
          <w:rFonts w:ascii="Arial" w:cs="Arial" w:eastAsia="Arial" w:hAnsi="Arial"/>
          <w:sz w:val="18"/>
          <w:szCs w:val="18"/>
          <w:color w:val="auto"/>
        </w:rPr>
      </w:pPr>
    </w:p>
    <w:p>
      <w:pPr>
        <w:ind w:left="660" w:firstLine="198"/>
        <w:spacing w:after="0" w:line="333" w:lineRule="auto"/>
        <w:tabs>
          <w:tab w:leader="none" w:pos="129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officers executing this Amendment on behalf of each Borrower and each Subsidiary Guarantor have been duly authorized to execute and deliver the same and bind such Borrower or such Subsidiary Guarantor with respect to the provisions hereof;</w:t>
      </w:r>
    </w:p>
    <w:p>
      <w:pPr>
        <w:spacing w:after="0" w:line="83" w:lineRule="exact"/>
        <w:rPr>
          <w:rFonts w:ascii="Arial" w:cs="Arial" w:eastAsia="Arial" w:hAnsi="Arial"/>
          <w:sz w:val="16"/>
          <w:szCs w:val="16"/>
          <w:color w:val="auto"/>
        </w:rPr>
      </w:pPr>
    </w:p>
    <w:p>
      <w:pPr>
        <w:ind w:left="660" w:firstLine="244"/>
        <w:spacing w:after="0" w:line="229" w:lineRule="auto"/>
        <w:tabs>
          <w:tab w:leader="none" w:pos="1375" w:val="left"/>
        </w:tabs>
        <w:numPr>
          <w:ilvl w:val="2"/>
          <w:numId w:val="37"/>
        </w:numPr>
        <w:rPr>
          <w:rFonts w:ascii="Arial" w:cs="Arial" w:eastAsia="Arial" w:hAnsi="Arial"/>
          <w:sz w:val="20"/>
          <w:szCs w:val="20"/>
          <w:color w:val="auto"/>
        </w:rPr>
      </w:pPr>
      <w:r>
        <w:rPr>
          <w:rFonts w:ascii="Arial" w:cs="Arial" w:eastAsia="Arial" w:hAnsi="Arial"/>
          <w:sz w:val="20"/>
          <w:szCs w:val="20"/>
          <w:color w:val="auto"/>
        </w:rPr>
        <w:t>no Default or Event of Default exists under the Credit Agreement, nor will any occur immediately after the execution and delivery of this Amendment;</w:t>
      </w:r>
    </w:p>
    <w:p>
      <w:pPr>
        <w:spacing w:after="0" w:line="155" w:lineRule="exact"/>
        <w:rPr>
          <w:rFonts w:ascii="Arial" w:cs="Arial" w:eastAsia="Arial" w:hAnsi="Arial"/>
          <w:sz w:val="20"/>
          <w:szCs w:val="20"/>
          <w:color w:val="auto"/>
        </w:rPr>
      </w:pPr>
    </w:p>
    <w:p>
      <w:pPr>
        <w:jc w:val="both"/>
        <w:ind w:left="660" w:firstLine="213"/>
        <w:spacing w:after="0" w:line="236" w:lineRule="auto"/>
        <w:tabs>
          <w:tab w:leader="none" w:pos="13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this Amendment constitutes the legal, valid and binding agreement and obligation of the Borrowers (other than the Released Borrower) and each Subsidiary Guarantor, enforceable in accordance with its terms, except to the extent that the enforceability thereof may be limited by applicable bankruptcy, insolvency, reorganization, moratorium or other similar laws generally affecting creditors’ rights and by equitable principles (regardless of whether enforcement is sought in equity or at law);</w:t>
      </w:r>
    </w:p>
    <w:p>
      <w:pPr>
        <w:spacing w:after="0" w:line="158" w:lineRule="exact"/>
        <w:rPr>
          <w:sz w:val="20"/>
          <w:szCs w:val="20"/>
          <w:color w:val="auto"/>
        </w:rPr>
      </w:pPr>
    </w:p>
    <w:p>
      <w:pPr>
        <w:ind w:left="660" w:firstLine="267"/>
        <w:spacing w:after="0" w:line="229" w:lineRule="auto"/>
        <w:tabs>
          <w:tab w:leader="none" w:pos="1422"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information included in each Beneficial Ownership Certification provided by the Borrowers is true and correct in all respects; and</w:t>
      </w:r>
    </w:p>
    <w:p>
      <w:pPr>
        <w:spacing w:after="0" w:line="155" w:lineRule="exact"/>
        <w:rPr>
          <w:rFonts w:ascii="Arial" w:cs="Arial" w:eastAsia="Arial" w:hAnsi="Arial"/>
          <w:sz w:val="20"/>
          <w:szCs w:val="20"/>
          <w:color w:val="auto"/>
        </w:rPr>
      </w:pPr>
    </w:p>
    <w:p>
      <w:pPr>
        <w:jc w:val="both"/>
        <w:ind w:left="660" w:firstLine="220"/>
        <w:spacing w:after="0" w:line="230" w:lineRule="auto"/>
        <w:tabs>
          <w:tab w:leader="none" w:pos="1306" w:val="left"/>
        </w:tabs>
        <w:numPr>
          <w:ilvl w:val="0"/>
          <w:numId w:val="39"/>
        </w:numPr>
        <w:rPr>
          <w:rFonts w:ascii="Arial" w:cs="Arial" w:eastAsia="Arial" w:hAnsi="Arial"/>
          <w:sz w:val="19"/>
          <w:szCs w:val="19"/>
          <w:color w:val="auto"/>
        </w:rPr>
      </w:pPr>
      <w:r>
        <w:rPr>
          <w:rFonts w:ascii="Arial" w:cs="Arial" w:eastAsia="Arial" w:hAnsi="Arial"/>
          <w:sz w:val="19"/>
          <w:szCs w:val="19"/>
          <w:color w:val="auto"/>
        </w:rPr>
        <w:t>each of the representations and warranties set forth in Article III of the Amended Credit Agreement is true and correct in all material respects as of the date hereof, except to the extent that any thereof expressly relate to an earlier date, in which case such representations and warranties shall have been true and correct in all material respects as of the date when made.</w:t>
      </w:r>
    </w:p>
    <w:p>
      <w:pPr>
        <w:spacing w:after="0" w:line="15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Credit Agreement Unaffected</w:t>
      </w:r>
      <w:r>
        <w:rPr>
          <w:rFonts w:ascii="Arial" w:cs="Arial" w:eastAsia="Arial" w:hAnsi="Arial"/>
          <w:sz w:val="19"/>
          <w:szCs w:val="19"/>
          <w:color w:val="auto"/>
        </w:rPr>
        <w:t>. Each reference to the Credit Agreement in any Loan Document shall hereafter be construed as a reference to the Amended Credit Agreement. Except as herein otherwise specifically provided, all provisions of the Credit Agreement shall remain in full force and effect and be unaffected hereby. This Amendment shall be a Loan Document.</w:t>
      </w:r>
    </w:p>
    <w:p>
      <w:pPr>
        <w:spacing w:after="0" w:line="15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8"/>
          <w:szCs w:val="18"/>
          <w:u w:val="single" w:color="auto"/>
          <w:color w:val="auto"/>
        </w:rPr>
        <w:t>Subsidiary Guarantor Acknowledgment</w:t>
      </w:r>
      <w:r>
        <w:rPr>
          <w:rFonts w:ascii="Arial" w:cs="Arial" w:eastAsia="Arial" w:hAnsi="Arial"/>
          <w:sz w:val="18"/>
          <w:szCs w:val="18"/>
          <w:color w:val="auto"/>
        </w:rPr>
        <w:t>. Each Subsidiary Guarantor, by signing this Amendment:</w:t>
      </w:r>
    </w:p>
    <w:p>
      <w:pPr>
        <w:spacing w:after="0" w:line="175" w:lineRule="exact"/>
        <w:rPr>
          <w:sz w:val="20"/>
          <w:szCs w:val="20"/>
          <w:color w:val="auto"/>
        </w:rPr>
      </w:pPr>
    </w:p>
    <w:p>
      <w:pPr>
        <w:ind w:left="1720" w:hanging="416"/>
        <w:spacing w:after="0"/>
        <w:tabs>
          <w:tab w:leader="none" w:pos="1720" w:val="left"/>
        </w:tabs>
        <w:numPr>
          <w:ilvl w:val="1"/>
          <w:numId w:val="40"/>
        </w:numPr>
        <w:rPr>
          <w:rFonts w:ascii="Arial" w:cs="Arial" w:eastAsia="Arial" w:hAnsi="Arial"/>
          <w:sz w:val="20"/>
          <w:szCs w:val="20"/>
          <w:color w:val="auto"/>
        </w:rPr>
      </w:pPr>
      <w:r>
        <w:rPr>
          <w:rFonts w:ascii="Arial" w:cs="Arial" w:eastAsia="Arial" w:hAnsi="Arial"/>
          <w:sz w:val="20"/>
          <w:szCs w:val="20"/>
          <w:color w:val="auto"/>
        </w:rPr>
        <w:t>consents and agrees to and acknowledges the terms of this Amendment;</w:t>
      </w:r>
    </w:p>
    <w:p>
      <w:pPr>
        <w:spacing w:after="0" w:line="175" w:lineRule="exact"/>
        <w:rPr>
          <w:rFonts w:ascii="Arial" w:cs="Arial" w:eastAsia="Arial" w:hAnsi="Arial"/>
          <w:sz w:val="20"/>
          <w:szCs w:val="20"/>
          <w:color w:val="auto"/>
        </w:rPr>
      </w:pPr>
    </w:p>
    <w:p>
      <w:pPr>
        <w:jc w:val="both"/>
        <w:ind w:left="660" w:firstLine="194"/>
        <w:spacing w:after="0" w:line="230" w:lineRule="auto"/>
        <w:tabs>
          <w:tab w:leader="none" w:pos="1286" w:val="left"/>
        </w:tabs>
        <w:numPr>
          <w:ilvl w:val="0"/>
          <w:numId w:val="41"/>
        </w:numPr>
        <w:rPr>
          <w:rFonts w:ascii="Arial" w:cs="Arial" w:eastAsia="Arial" w:hAnsi="Arial"/>
          <w:sz w:val="19"/>
          <w:szCs w:val="19"/>
          <w:color w:val="auto"/>
        </w:rPr>
      </w:pPr>
      <w:r>
        <w:rPr>
          <w:rFonts w:ascii="Arial" w:cs="Arial" w:eastAsia="Arial" w:hAnsi="Arial"/>
          <w:sz w:val="19"/>
          <w:szCs w:val="19"/>
          <w:color w:val="auto"/>
        </w:rPr>
        <w:t>acknowledges and agrees that all of the Loan Documents to which such Subsidiary Guarantor is a party or is otherwise bound shall continue in full force and effect and that all of such Subsidiary Guarantor’s obligations thereunder shall be valid and enforceable and shall not be impaired or limited by the execution or effectiveness of this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NAI-1523243933v6</w:t>
      </w:r>
    </w:p>
    <w:p>
      <w:pPr>
        <w:sectPr>
          <w:pgSz w:w="11900" w:h="16838" w:orient="portrait"/>
          <w:cols w:equalWidth="0" w:num="1">
            <w:col w:w="11240"/>
          </w:cols>
          <w:pgMar w:left="320" w:top="1405" w:right="339" w:bottom="1440" w:gutter="0" w:footer="0" w:header="0"/>
        </w:sectPr>
      </w:pPr>
    </w:p>
    <w:bookmarkStart w:id="50" w:name="page51"/>
    <w:bookmarkEnd w:id="50"/>
    <w:p>
      <w:pPr>
        <w:jc w:val="both"/>
        <w:ind w:left="660" w:firstLine="344"/>
        <w:spacing w:after="0" w:line="221" w:lineRule="auto"/>
        <w:tabs>
          <w:tab w:leader="none" w:pos="1576" w:val="left"/>
        </w:tabs>
        <w:numPr>
          <w:ilvl w:val="0"/>
          <w:numId w:val="42"/>
        </w:numPr>
        <w:rPr>
          <w:rFonts w:ascii="Arial" w:cs="Arial" w:eastAsia="Arial" w:hAnsi="Arial"/>
          <w:sz w:val="19"/>
          <w:szCs w:val="19"/>
          <w:color w:val="auto"/>
        </w:rPr>
      </w:pPr>
      <w:r>
        <w:rPr>
          <w:rFonts w:ascii="Arial" w:cs="Arial" w:eastAsia="Arial" w:hAnsi="Arial"/>
          <w:sz w:val="19"/>
          <w:szCs w:val="19"/>
          <w:color w:val="auto"/>
        </w:rPr>
        <w:t>acknowledges and agrees that (i) notwithstanding the conditions to effectiveness set forth in this Amendment, such Subsidiary Guarantor is not required by the terms of the Credit Agreement or any other Loan Document to which such Subsidiary Guarantor is a party to consent to the amendments to the Credit Agreement effected pursuant to this Amendment and (ii) nothing in the Credit Agreement, this Amendment or any other Loan Document shall be deemed to require the consent of such Subsidiary Guarantor to any future amendments or modifications to the Credit Agreement.</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Amendment, together with the Credit Agreement and the other Loan Documents, integrates all the terms and conditions mentioned herein or incidental hereto and supersedes all oral representations and negotiations and prior writings with respect to the subject matter hereof.</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Amendment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156"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THE OTHER LOAN DOCUMENTS AND THE RIGHTS AND OBLIGATIONS OF THE PARTIES HEREUNDER AND THEREUNDER SHALL BE CONSTRUED IN ACCORDANCE WITH AND BE GOVERNED BY THE LAW OF THE STATE OF NEW YORK. TO THE FULLEST EXTENT PERMITTED BY LAW, THE BORROWERS (INCLUDING THE NEW BORROWER) HEREBY UNCONDITIONALLY AND IRREVOCABLY WAIVE ANY CLAIM TO ASSERT THAT THE LAW OF ANY JURISDICTION OTHER THAN THE STATE OF NEW YORK GOVERNS THIS AMENDMENT OR ANY OF THE OTHER LOAN DOCUMENTS.</w:t>
      </w:r>
    </w:p>
    <w:p>
      <w:pPr>
        <w:spacing w:after="0" w:line="160"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Jurisdiction</w:t>
      </w:r>
      <w:r>
        <w:rPr>
          <w:rFonts w:ascii="Arial" w:cs="Arial" w:eastAsia="Arial" w:hAnsi="Arial"/>
          <w:sz w:val="19"/>
          <w:szCs w:val="19"/>
          <w:color w:val="auto"/>
        </w:rPr>
        <w:t>. EACH BORROWER (INCLUDING THE NEW BORROWER) HEREBY IRREVOCABLY AND UNCONDITIONALLY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AMENDMENT SHALL AFFECT ANY RIGHT THAT THE ADMINISTRATIVE AGENT, THE ISSUING BANK OR ANY LENDER MAY OTHERWISE HAVE TO BRING ANY ACTION OR PROCEEDING RELATING TO THIS AMENDMENT OR ANY OF THE OTHER LOAN DOCUMENTS AGAINST ANY BORROWER (INCLUDING THE NEW BORROWER) OR ITS PROPERTIES IN THE COURTS OF ANY JURISDICTION.</w:t>
      </w:r>
    </w:p>
    <w:p>
      <w:pPr>
        <w:spacing w:after="0" w:line="160"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JURY TRIAL WAIVER</w:t>
      </w:r>
      <w:r>
        <w:rPr>
          <w:rFonts w:ascii="Arial" w:cs="Arial" w:eastAsia="Arial" w:hAnsi="Arial"/>
          <w:sz w:val="20"/>
          <w:szCs w:val="20"/>
          <w:color w:val="auto"/>
        </w:rPr>
        <w:t>. EACH OF THE PARTIES TO THIS AMENDMENT HEREBY IRREVOCABLY WAIVES ALL RIGHT TO A TRIAL BY JURY IN ANY ACTION, PROCEEDING OR COUNTERCLAIM ARISING OUT OF OR RELATING TO THIS AMENDMENT OR ANY OF THE OTHER LOAN DOCUMENTS (INCLUDING, WITHOUT LIMITATION, ANY AMENDMENTS, WAIVERS OR OTHER MODIFICATIONS RELATING TO ANY OF THE FOREGOING), OR THE TRANSACTIONS CONTEMPLATED HEREBY OR THEREBY.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NAI-1523243933v6</w:t>
      </w:r>
    </w:p>
    <w:p>
      <w:pPr>
        <w:sectPr>
          <w:pgSz w:w="11900" w:h="16838" w:orient="portrait"/>
          <w:cols w:equalWidth="0" w:num="1">
            <w:col w:w="11240"/>
          </w:cols>
          <w:pgMar w:left="320" w:top="1405" w:right="339" w:bottom="1440" w:gutter="0" w:footer="0" w:header="0"/>
        </w:sectPr>
      </w:pPr>
    </w:p>
    <w:bookmarkStart w:id="51" w:name="page52"/>
    <w:bookmarkEnd w:id="51"/>
    <w:p>
      <w:pPr>
        <w:spacing w:after="0"/>
        <w:rPr>
          <w:sz w:val="20"/>
          <w:szCs w:val="20"/>
          <w:color w:val="auto"/>
        </w:rPr>
      </w:pPr>
      <w:r>
        <w:rPr>
          <w:rFonts w:ascii="Arial" w:cs="Arial" w:eastAsia="Arial" w:hAnsi="Arial"/>
          <w:sz w:val="19"/>
          <w:szCs w:val="19"/>
          <w:color w:val="auto"/>
        </w:rPr>
        <w:t>IN WITNESS WHEREOF, this Amendment has been duly executed and delivered as of the date first above written.</w:t>
      </w:r>
    </w:p>
    <w:p>
      <w:pPr>
        <w:spacing w:after="0" w:line="21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THE COOPER COMPANIES, INC., as an Existing Borrower</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Brian G. Andrews________________________</w:t>
      </w:r>
    </w:p>
    <w:p>
      <w:pPr>
        <w:ind w:left="3440"/>
        <w:spacing w:after="0" w:line="197" w:lineRule="auto"/>
        <w:rPr>
          <w:sz w:val="20"/>
          <w:szCs w:val="20"/>
          <w:color w:val="auto"/>
        </w:rPr>
      </w:pPr>
      <w:r>
        <w:rPr>
          <w:rFonts w:ascii="Arial" w:cs="Arial" w:eastAsia="Arial" w:hAnsi="Arial"/>
          <w:sz w:val="20"/>
          <w:szCs w:val="20"/>
          <w:color w:val="auto"/>
        </w:rPr>
        <w:t>Name: Brian G. Andrews</w:t>
      </w:r>
    </w:p>
    <w:p>
      <w:pPr>
        <w:ind w:left="3440"/>
        <w:spacing w:after="0" w:line="197" w:lineRule="auto"/>
        <w:rPr>
          <w:sz w:val="20"/>
          <w:szCs w:val="20"/>
          <w:color w:val="auto"/>
        </w:rPr>
      </w:pPr>
      <w:r>
        <w:rPr>
          <w:rFonts w:ascii="Arial" w:cs="Arial" w:eastAsia="Arial" w:hAnsi="Arial"/>
          <w:sz w:val="20"/>
          <w:szCs w:val="20"/>
          <w:color w:val="auto"/>
        </w:rPr>
        <w:t>Title: Executive Vice President, Chief</w:t>
      </w:r>
    </w:p>
    <w:p>
      <w:pPr>
        <w:ind w:left="4540"/>
        <w:spacing w:after="0"/>
        <w:rPr>
          <w:sz w:val="20"/>
          <w:szCs w:val="20"/>
          <w:color w:val="auto"/>
        </w:rPr>
      </w:pPr>
      <w:r>
        <w:rPr>
          <w:rFonts w:ascii="Arial" w:cs="Arial" w:eastAsia="Arial" w:hAnsi="Arial"/>
          <w:sz w:val="20"/>
          <w:szCs w:val="20"/>
          <w:color w:val="auto"/>
        </w:rPr>
        <w:t>Financial Officer &amp; Treasurer</w:t>
      </w:r>
    </w:p>
    <w:p>
      <w:pPr>
        <w:spacing w:after="0" w:line="200" w:lineRule="exact"/>
        <w:rPr>
          <w:sz w:val="20"/>
          <w:szCs w:val="20"/>
          <w:color w:val="auto"/>
        </w:rPr>
      </w:pP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COOPERVISION INTERNATIONAL LIMITED, as an Existing Borrower</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Brian G. Andrews________________________</w:t>
      </w:r>
    </w:p>
    <w:p>
      <w:pPr>
        <w:ind w:left="3440"/>
        <w:spacing w:after="0" w:line="197" w:lineRule="auto"/>
        <w:rPr>
          <w:sz w:val="20"/>
          <w:szCs w:val="20"/>
          <w:color w:val="auto"/>
        </w:rPr>
      </w:pPr>
      <w:r>
        <w:rPr>
          <w:rFonts w:ascii="Arial" w:cs="Arial" w:eastAsia="Arial" w:hAnsi="Arial"/>
          <w:sz w:val="20"/>
          <w:szCs w:val="20"/>
          <w:color w:val="auto"/>
        </w:rPr>
        <w:t>Name: Brian G. Andrews</w:t>
      </w:r>
    </w:p>
    <w:p>
      <w:pPr>
        <w:ind w:left="34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COOPERVISION HOLDING KFT., as a Released Borrower</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Agostino Ricupati________________________</w:t>
      </w:r>
    </w:p>
    <w:p>
      <w:pPr>
        <w:ind w:left="3440"/>
        <w:spacing w:after="0" w:line="197" w:lineRule="auto"/>
        <w:rPr>
          <w:sz w:val="20"/>
          <w:szCs w:val="20"/>
          <w:color w:val="auto"/>
        </w:rPr>
      </w:pPr>
      <w:r>
        <w:rPr>
          <w:rFonts w:ascii="Arial" w:cs="Arial" w:eastAsia="Arial" w:hAnsi="Arial"/>
          <w:sz w:val="20"/>
          <w:szCs w:val="20"/>
          <w:color w:val="auto"/>
        </w:rPr>
        <w:t>Name: Agostino Ricupati</w:t>
      </w:r>
    </w:p>
    <w:p>
      <w:pPr>
        <w:ind w:left="34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COOPERSURGICAL HOLDINGS LIMITED, as an Additional Revolving Borrower</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Brian G. Andrews________________________</w:t>
      </w:r>
    </w:p>
    <w:p>
      <w:pPr>
        <w:ind w:left="3440"/>
        <w:spacing w:after="0" w:line="197" w:lineRule="auto"/>
        <w:rPr>
          <w:sz w:val="20"/>
          <w:szCs w:val="20"/>
          <w:color w:val="auto"/>
        </w:rPr>
      </w:pPr>
      <w:r>
        <w:rPr>
          <w:rFonts w:ascii="Arial" w:cs="Arial" w:eastAsia="Arial" w:hAnsi="Arial"/>
          <w:sz w:val="20"/>
          <w:szCs w:val="20"/>
          <w:color w:val="auto"/>
        </w:rPr>
        <w:t>Name: Brian G. Andrews</w:t>
      </w:r>
    </w:p>
    <w:p>
      <w:pPr>
        <w:ind w:left="34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[Signtaure Page – Amendment No. 2 and Joinder]</w:t>
      </w:r>
    </w:p>
    <w:p>
      <w:pPr>
        <w:sectPr>
          <w:pgSz w:w="11900" w:h="16838" w:orient="portrait"/>
          <w:cols w:equalWidth="0" w:num="1">
            <w:col w:w="10000"/>
          </w:cols>
          <w:pgMar w:left="980" w:top="1405" w:right="919" w:bottom="1440" w:gutter="0" w:footer="0" w:header="0"/>
        </w:sectPr>
      </w:pPr>
    </w:p>
    <w:bookmarkStart w:id="52" w:name="page53"/>
    <w:bookmarkEnd w:id="52"/>
    <w:p>
      <w:pPr>
        <w:ind w:left="3900"/>
        <w:spacing w:after="0"/>
        <w:rPr>
          <w:sz w:val="20"/>
          <w:szCs w:val="20"/>
          <w:color w:val="auto"/>
        </w:rPr>
      </w:pPr>
      <w:r>
        <w:rPr>
          <w:rFonts w:ascii="Arial" w:cs="Arial" w:eastAsia="Arial" w:hAnsi="Arial"/>
          <w:sz w:val="20"/>
          <w:szCs w:val="20"/>
          <w:color w:val="auto"/>
        </w:rPr>
        <w:t>KEYBANK NATIONAL ASSOCIATION,</w:t>
      </w:r>
    </w:p>
    <w:p>
      <w:pPr>
        <w:ind w:left="3900"/>
        <w:spacing w:after="0"/>
        <w:rPr>
          <w:sz w:val="20"/>
          <w:szCs w:val="20"/>
          <w:color w:val="auto"/>
        </w:rPr>
      </w:pPr>
      <w:r>
        <w:rPr>
          <w:rFonts w:ascii="Arial" w:cs="Arial" w:eastAsia="Arial" w:hAnsi="Arial"/>
          <w:sz w:val="19"/>
          <w:szCs w:val="19"/>
          <w:color w:val="auto"/>
        </w:rPr>
        <w:t>as the Administrative Agent and a Lender</w:t>
      </w:r>
    </w:p>
    <w:p>
      <w:pPr>
        <w:spacing w:after="0" w:line="17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Marianne T. Neil</w:t>
      </w:r>
    </w:p>
    <w:p>
      <w:pPr>
        <w:ind w:left="3900"/>
        <w:spacing w:after="0" w:line="197" w:lineRule="auto"/>
        <w:rPr>
          <w:sz w:val="20"/>
          <w:szCs w:val="20"/>
          <w:color w:val="auto"/>
        </w:rPr>
      </w:pPr>
      <w:r>
        <w:rPr>
          <w:rFonts w:ascii="Arial" w:cs="Arial" w:eastAsia="Arial" w:hAnsi="Arial"/>
          <w:sz w:val="20"/>
          <w:szCs w:val="20"/>
          <w:color w:val="auto"/>
        </w:rPr>
        <w:t>Name: Marianne T. Meil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-118745</wp:posOffset>
            </wp:positionV>
            <wp:extent cx="16687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66878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 Sr.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[Signtaure Page – Amendment No. 2 and Joinder]</w:t>
      </w:r>
    </w:p>
    <w:p>
      <w:pPr>
        <w:spacing w:after="0"/>
        <w:rPr>
          <w:sz w:val="20"/>
          <w:szCs w:val="20"/>
          <w:color w:val="auto"/>
        </w:rPr>
      </w:pPr>
      <w:r>
        <w:rPr>
          <w:rFonts w:ascii="Arial" w:cs="Arial" w:eastAsia="Arial" w:hAnsi="Arial"/>
          <w:sz w:val="14"/>
          <w:szCs w:val="14"/>
          <w:color w:val="auto"/>
        </w:rPr>
        <w:t>NAI-1523243933</w:t>
      </w:r>
    </w:p>
    <w:p>
      <w:pPr>
        <w:sectPr>
          <w:pgSz w:w="11900" w:h="16838" w:orient="portrait"/>
          <w:cols w:equalWidth="0" w:num="1">
            <w:col w:w="10139"/>
          </w:cols>
          <w:pgMar w:left="320" w:top="1380" w:right="1440" w:bottom="1440" w:gutter="0" w:footer="0" w:header="0"/>
        </w:sectPr>
      </w:pPr>
    </w:p>
    <w:bookmarkStart w:id="53" w:name="page54"/>
    <w:bookmarkEnd w:id="53"/>
    <w:p>
      <w:pPr>
        <w:ind w:right="3899"/>
        <w:spacing w:after="0" w:line="229" w:lineRule="auto"/>
        <w:rPr>
          <w:sz w:val="20"/>
          <w:szCs w:val="20"/>
          <w:color w:val="auto"/>
        </w:rPr>
      </w:pPr>
      <w:r>
        <w:rPr>
          <w:rFonts w:ascii="Arial" w:cs="Arial" w:eastAsia="Arial" w:hAnsi="Arial"/>
          <w:sz w:val="20"/>
          <w:szCs w:val="20"/>
          <w:color w:val="auto"/>
        </w:rPr>
        <w:t>Each of the undersigned Subsidiary Guarantors acknowledges the terms of and consents to the foregoing:</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COOPERVISION, INC.</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Brian G. Andrews__________________</w:t>
      </w:r>
    </w:p>
    <w:p>
      <w:pPr>
        <w:ind w:left="200"/>
        <w:spacing w:after="0" w:line="197" w:lineRule="auto"/>
        <w:rPr>
          <w:sz w:val="20"/>
          <w:szCs w:val="20"/>
          <w:color w:val="auto"/>
        </w:rPr>
      </w:pPr>
      <w:r>
        <w:rPr>
          <w:rFonts w:ascii="Arial" w:cs="Arial" w:eastAsia="Arial" w:hAnsi="Arial"/>
          <w:sz w:val="20"/>
          <w:szCs w:val="20"/>
          <w:color w:val="auto"/>
        </w:rPr>
        <w:t>Name: Brian G. Andrews</w:t>
      </w:r>
    </w:p>
    <w:p>
      <w:pPr>
        <w:ind w:left="200"/>
        <w:spacing w:after="0" w:line="197" w:lineRule="auto"/>
        <w:rPr>
          <w:sz w:val="20"/>
          <w:szCs w:val="20"/>
          <w:color w:val="auto"/>
        </w:rPr>
      </w:pPr>
      <w:r>
        <w:rPr>
          <w:rFonts w:ascii="Arial" w:cs="Arial" w:eastAsia="Arial" w:hAnsi="Arial"/>
          <w:sz w:val="20"/>
          <w:szCs w:val="20"/>
          <w:color w:val="auto"/>
        </w:rPr>
        <w:t>Title: Executive Vice President &amp;</w:t>
      </w:r>
    </w:p>
    <w:p>
      <w:pPr>
        <w:ind w:left="1300"/>
        <w:spacing w:after="0"/>
        <w:rPr>
          <w:sz w:val="20"/>
          <w:szCs w:val="20"/>
          <w:color w:val="auto"/>
        </w:rPr>
      </w:pPr>
      <w:r>
        <w:rPr>
          <w:rFonts w:ascii="Arial" w:cs="Arial" w:eastAsia="Arial" w:hAnsi="Arial"/>
          <w:sz w:val="20"/>
          <w:szCs w:val="20"/>
          <w:color w:val="auto"/>
        </w:rPr>
        <w:t>Treasurer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COOPERSURGICAL, INC.</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Brian G. Andrews__________________</w:t>
      </w:r>
    </w:p>
    <w:p>
      <w:pPr>
        <w:ind w:left="200"/>
        <w:spacing w:after="0" w:line="197" w:lineRule="auto"/>
        <w:rPr>
          <w:sz w:val="20"/>
          <w:szCs w:val="20"/>
          <w:color w:val="auto"/>
        </w:rPr>
      </w:pPr>
      <w:r>
        <w:rPr>
          <w:rFonts w:ascii="Arial" w:cs="Arial" w:eastAsia="Arial" w:hAnsi="Arial"/>
          <w:sz w:val="20"/>
          <w:szCs w:val="20"/>
          <w:color w:val="auto"/>
        </w:rPr>
        <w:t>Name: Brian G. Andrews</w:t>
      </w:r>
    </w:p>
    <w:p>
      <w:pPr>
        <w:ind w:left="200"/>
        <w:spacing w:after="0" w:line="197" w:lineRule="auto"/>
        <w:rPr>
          <w:sz w:val="20"/>
          <w:szCs w:val="20"/>
          <w:color w:val="auto"/>
        </w:rPr>
      </w:pPr>
      <w:r>
        <w:rPr>
          <w:rFonts w:ascii="Arial" w:cs="Arial" w:eastAsia="Arial" w:hAnsi="Arial"/>
          <w:sz w:val="20"/>
          <w:szCs w:val="20"/>
          <w:color w:val="auto"/>
        </w:rPr>
        <w:t>Title: Executive Vice President &amp;</w:t>
      </w:r>
    </w:p>
    <w:p>
      <w:pPr>
        <w:ind w:left="130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[Signtaure Page – Amendment No. 2 and Joinder]</w:t>
      </w:r>
    </w:p>
    <w:p>
      <w:pPr>
        <w:sectPr>
          <w:pgSz w:w="11900" w:h="16838" w:orient="portrait"/>
          <w:cols w:equalWidth="0" w:num="1">
            <w:col w:w="10139"/>
          </w:cols>
          <w:pgMar w:left="320" w:top="1405" w:right="1440" w:bottom="1440" w:gutter="0" w:footer="0" w:header="0"/>
        </w:sectPr>
      </w:pPr>
    </w:p>
    <w:bookmarkStart w:id="54" w:name="page55"/>
    <w:bookmarkEnd w:id="54"/>
    <w:p>
      <w:pPr>
        <w:jc w:val="center"/>
        <w:ind w:right="-1100"/>
        <w:spacing w:after="0"/>
        <w:rPr>
          <w:sz w:val="20"/>
          <w:szCs w:val="20"/>
          <w:color w:val="auto"/>
        </w:rPr>
      </w:pPr>
      <w:r>
        <w:rPr>
          <w:rFonts w:ascii="Arial" w:cs="Arial" w:eastAsia="Arial" w:hAnsi="Arial"/>
          <w:sz w:val="20"/>
          <w:szCs w:val="20"/>
          <w:color w:val="auto"/>
        </w:rPr>
        <w:t>Signature Page to</w:t>
      </w:r>
    </w:p>
    <w:p>
      <w:pPr>
        <w:jc w:val="center"/>
        <w:ind w:right="-1100"/>
        <w:spacing w:after="0" w:line="219" w:lineRule="auto"/>
        <w:rPr>
          <w:sz w:val="20"/>
          <w:szCs w:val="20"/>
          <w:color w:val="auto"/>
        </w:rPr>
      </w:pPr>
      <w:r>
        <w:rPr>
          <w:rFonts w:ascii="Arial" w:cs="Arial" w:eastAsia="Arial" w:hAnsi="Arial"/>
          <w:sz w:val="18"/>
          <w:szCs w:val="18"/>
          <w:color w:val="auto"/>
        </w:rPr>
        <w:t>Amendment No. 2 and Joinder to Revolving Credit and Term Loan Agreement,</w:t>
      </w:r>
    </w:p>
    <w:p>
      <w:pPr>
        <w:jc w:val="center"/>
        <w:ind w:right="-1100"/>
        <w:spacing w:after="0" w:line="197" w:lineRule="auto"/>
        <w:rPr>
          <w:sz w:val="20"/>
          <w:szCs w:val="20"/>
          <w:color w:val="auto"/>
        </w:rPr>
      </w:pPr>
      <w:r>
        <w:rPr>
          <w:rFonts w:ascii="Arial" w:cs="Arial" w:eastAsia="Arial" w:hAnsi="Arial"/>
          <w:sz w:val="20"/>
          <w:szCs w:val="20"/>
          <w:color w:val="auto"/>
        </w:rPr>
        <w:t>dated as of the date first above written,</w:t>
      </w:r>
    </w:p>
    <w:p>
      <w:pPr>
        <w:jc w:val="center"/>
        <w:ind w:right="-1100"/>
        <w:spacing w:after="0" w:line="219" w:lineRule="auto"/>
        <w:rPr>
          <w:sz w:val="20"/>
          <w:szCs w:val="20"/>
          <w:color w:val="auto"/>
        </w:rPr>
      </w:pPr>
      <w:r>
        <w:rPr>
          <w:rFonts w:ascii="Arial" w:cs="Arial" w:eastAsia="Arial" w:hAnsi="Arial"/>
          <w:sz w:val="18"/>
          <w:szCs w:val="18"/>
          <w:color w:val="auto"/>
        </w:rPr>
        <w:t>among The Cooper Companies, Inc. and CooperVision International Limited,</w:t>
      </w:r>
    </w:p>
    <w:p>
      <w:pPr>
        <w:jc w:val="center"/>
        <w:ind w:right="-1100"/>
        <w:spacing w:after="0" w:line="197" w:lineRule="auto"/>
        <w:rPr>
          <w:sz w:val="20"/>
          <w:szCs w:val="20"/>
          <w:color w:val="auto"/>
        </w:rPr>
      </w:pPr>
      <w:r>
        <w:rPr>
          <w:rFonts w:ascii="Arial" w:cs="Arial" w:eastAsia="Arial" w:hAnsi="Arial"/>
          <w:sz w:val="20"/>
          <w:szCs w:val="20"/>
          <w:color w:val="auto"/>
        </w:rPr>
        <w:t>as Existing Borrowers,</w:t>
      </w:r>
    </w:p>
    <w:p>
      <w:pPr>
        <w:jc w:val="center"/>
        <w:ind w:right="-1100"/>
        <w:spacing w:after="0" w:line="197" w:lineRule="auto"/>
        <w:rPr>
          <w:sz w:val="20"/>
          <w:szCs w:val="20"/>
          <w:color w:val="auto"/>
        </w:rPr>
      </w:pPr>
      <w:r>
        <w:rPr>
          <w:rFonts w:ascii="Arial" w:cs="Arial" w:eastAsia="Arial" w:hAnsi="Arial"/>
          <w:sz w:val="20"/>
          <w:szCs w:val="20"/>
          <w:color w:val="auto"/>
        </w:rPr>
        <w:t>CooperVision Holding Kft.,</w:t>
      </w:r>
    </w:p>
    <w:p>
      <w:pPr>
        <w:jc w:val="center"/>
        <w:ind w:right="-1100"/>
        <w:spacing w:after="0" w:line="198" w:lineRule="auto"/>
        <w:rPr>
          <w:sz w:val="20"/>
          <w:szCs w:val="20"/>
          <w:color w:val="auto"/>
        </w:rPr>
      </w:pPr>
      <w:r>
        <w:rPr>
          <w:rFonts w:ascii="Arial" w:cs="Arial" w:eastAsia="Arial" w:hAnsi="Arial"/>
          <w:sz w:val="20"/>
          <w:szCs w:val="20"/>
          <w:color w:val="auto"/>
        </w:rPr>
        <w:t>as an Existing Borrower and as the Released Borrower,</w:t>
      </w:r>
    </w:p>
    <w:p>
      <w:pPr>
        <w:jc w:val="center"/>
        <w:ind w:right="-1100"/>
        <w:spacing w:after="0" w:line="197" w:lineRule="auto"/>
        <w:rPr>
          <w:sz w:val="20"/>
          <w:szCs w:val="20"/>
          <w:color w:val="auto"/>
        </w:rPr>
      </w:pPr>
      <w:r>
        <w:rPr>
          <w:rFonts w:ascii="Arial" w:cs="Arial" w:eastAsia="Arial" w:hAnsi="Arial"/>
          <w:sz w:val="20"/>
          <w:szCs w:val="20"/>
          <w:color w:val="auto"/>
        </w:rPr>
        <w:t>CooperSurgical Holdings Limited,</w:t>
      </w:r>
    </w:p>
    <w:p>
      <w:pPr>
        <w:jc w:val="center"/>
        <w:ind w:right="-1100"/>
        <w:spacing w:after="0" w:line="197" w:lineRule="auto"/>
        <w:rPr>
          <w:sz w:val="20"/>
          <w:szCs w:val="20"/>
          <w:color w:val="auto"/>
        </w:rPr>
      </w:pPr>
      <w:r>
        <w:rPr>
          <w:rFonts w:ascii="Arial" w:cs="Arial" w:eastAsia="Arial" w:hAnsi="Arial"/>
          <w:sz w:val="20"/>
          <w:szCs w:val="20"/>
          <w:color w:val="auto"/>
        </w:rPr>
        <w:t>as an Additional Revolving Borrower,</w:t>
      </w:r>
    </w:p>
    <w:p>
      <w:pPr>
        <w:jc w:val="center"/>
        <w:ind w:right="-1100"/>
        <w:spacing w:after="0" w:line="197" w:lineRule="auto"/>
        <w:rPr>
          <w:sz w:val="20"/>
          <w:szCs w:val="20"/>
          <w:color w:val="auto"/>
        </w:rPr>
      </w:pPr>
      <w:r>
        <w:rPr>
          <w:rFonts w:ascii="Arial" w:cs="Arial" w:eastAsia="Arial" w:hAnsi="Arial"/>
          <w:sz w:val="20"/>
          <w:szCs w:val="20"/>
          <w:color w:val="auto"/>
        </w:rPr>
        <w:t>KeyBank National Association, as the Administrative Agent,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Name of Institution:  PNC Bank National Association, N.A.</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Dawn Kondrat</w:t>
      </w:r>
    </w:p>
    <w:p>
      <w:pPr>
        <w:ind w:left="5400"/>
        <w:spacing w:after="0" w:line="197" w:lineRule="auto"/>
        <w:rPr>
          <w:sz w:val="20"/>
          <w:szCs w:val="20"/>
          <w:color w:val="auto"/>
        </w:rPr>
      </w:pPr>
      <w:r>
        <w:rPr>
          <w:rFonts w:ascii="Arial" w:cs="Arial" w:eastAsia="Arial" w:hAnsi="Arial"/>
          <w:sz w:val="20"/>
          <w:szCs w:val="20"/>
          <w:color w:val="auto"/>
        </w:rPr>
        <w:t>Name: Dawn Kondrat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1019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[Signtaure Page – Amendment No. 2 and Joinder]</w:t>
      </w:r>
    </w:p>
    <w:p>
      <w:pPr>
        <w:spacing w:after="0"/>
        <w:rPr>
          <w:sz w:val="20"/>
          <w:szCs w:val="20"/>
          <w:color w:val="auto"/>
        </w:rPr>
      </w:pPr>
      <w:r>
        <w:rPr>
          <w:rFonts w:ascii="Arial" w:cs="Arial" w:eastAsia="Arial" w:hAnsi="Arial"/>
          <w:sz w:val="14"/>
          <w:szCs w:val="14"/>
          <w:color w:val="auto"/>
        </w:rPr>
        <w:t>NAI-1523243933</w:t>
      </w:r>
    </w:p>
    <w:p>
      <w:pPr>
        <w:sectPr>
          <w:pgSz w:w="11900" w:h="16838" w:orient="portrait"/>
          <w:cols w:equalWidth="0" w:num="1">
            <w:col w:w="10139"/>
          </w:cols>
          <w:pgMar w:left="320" w:top="1380" w:right="1440" w:bottom="1440" w:gutter="0" w:footer="0" w:header="0"/>
        </w:sectPr>
      </w:pPr>
    </w:p>
    <w:bookmarkStart w:id="55" w:name="page56"/>
    <w:bookmarkEnd w:id="55"/>
    <w:p>
      <w:pPr>
        <w:jc w:val="center"/>
        <w:ind w:right="-1100"/>
        <w:spacing w:after="0"/>
        <w:rPr>
          <w:sz w:val="20"/>
          <w:szCs w:val="20"/>
          <w:color w:val="auto"/>
        </w:rPr>
      </w:pPr>
      <w:r>
        <w:rPr>
          <w:rFonts w:ascii="Arial" w:cs="Arial" w:eastAsia="Arial" w:hAnsi="Arial"/>
          <w:sz w:val="20"/>
          <w:szCs w:val="20"/>
          <w:color w:val="auto"/>
        </w:rPr>
        <w:t>Signature Page to</w:t>
      </w:r>
    </w:p>
    <w:p>
      <w:pPr>
        <w:jc w:val="center"/>
        <w:ind w:right="-1100"/>
        <w:spacing w:after="0" w:line="219" w:lineRule="auto"/>
        <w:rPr>
          <w:sz w:val="20"/>
          <w:szCs w:val="20"/>
          <w:color w:val="auto"/>
        </w:rPr>
      </w:pPr>
      <w:r>
        <w:rPr>
          <w:rFonts w:ascii="Arial" w:cs="Arial" w:eastAsia="Arial" w:hAnsi="Arial"/>
          <w:sz w:val="18"/>
          <w:szCs w:val="18"/>
          <w:color w:val="auto"/>
        </w:rPr>
        <w:t>Amendment No. 2 and Joinder to Revolving Credit and Term Loan Agreement,</w:t>
      </w:r>
    </w:p>
    <w:p>
      <w:pPr>
        <w:jc w:val="center"/>
        <w:ind w:right="-1100"/>
        <w:spacing w:after="0" w:line="197" w:lineRule="auto"/>
        <w:rPr>
          <w:sz w:val="20"/>
          <w:szCs w:val="20"/>
          <w:color w:val="auto"/>
        </w:rPr>
      </w:pPr>
      <w:r>
        <w:rPr>
          <w:rFonts w:ascii="Arial" w:cs="Arial" w:eastAsia="Arial" w:hAnsi="Arial"/>
          <w:sz w:val="20"/>
          <w:szCs w:val="20"/>
          <w:color w:val="auto"/>
        </w:rPr>
        <w:t>dated as of the date first above written,</w:t>
      </w:r>
    </w:p>
    <w:p>
      <w:pPr>
        <w:jc w:val="center"/>
        <w:ind w:right="-1100"/>
        <w:spacing w:after="0" w:line="219" w:lineRule="auto"/>
        <w:rPr>
          <w:sz w:val="20"/>
          <w:szCs w:val="20"/>
          <w:color w:val="auto"/>
        </w:rPr>
      </w:pPr>
      <w:r>
        <w:rPr>
          <w:rFonts w:ascii="Arial" w:cs="Arial" w:eastAsia="Arial" w:hAnsi="Arial"/>
          <w:sz w:val="18"/>
          <w:szCs w:val="18"/>
          <w:color w:val="auto"/>
        </w:rPr>
        <w:t>among The Cooper Companies, Inc. and CooperVision International Limited,</w:t>
      </w:r>
    </w:p>
    <w:p>
      <w:pPr>
        <w:jc w:val="center"/>
        <w:ind w:right="-1100"/>
        <w:spacing w:after="0" w:line="197" w:lineRule="auto"/>
        <w:rPr>
          <w:sz w:val="20"/>
          <w:szCs w:val="20"/>
          <w:color w:val="auto"/>
        </w:rPr>
      </w:pPr>
      <w:r>
        <w:rPr>
          <w:rFonts w:ascii="Arial" w:cs="Arial" w:eastAsia="Arial" w:hAnsi="Arial"/>
          <w:sz w:val="20"/>
          <w:szCs w:val="20"/>
          <w:color w:val="auto"/>
        </w:rPr>
        <w:t>as Existing Borrowers,</w:t>
      </w:r>
    </w:p>
    <w:p>
      <w:pPr>
        <w:jc w:val="center"/>
        <w:ind w:right="-1100"/>
        <w:spacing w:after="0" w:line="197" w:lineRule="auto"/>
        <w:rPr>
          <w:sz w:val="20"/>
          <w:szCs w:val="20"/>
          <w:color w:val="auto"/>
        </w:rPr>
      </w:pPr>
      <w:r>
        <w:rPr>
          <w:rFonts w:ascii="Arial" w:cs="Arial" w:eastAsia="Arial" w:hAnsi="Arial"/>
          <w:sz w:val="20"/>
          <w:szCs w:val="20"/>
          <w:color w:val="auto"/>
        </w:rPr>
        <w:t>CooperVision Holding Kft.,</w:t>
      </w:r>
    </w:p>
    <w:p>
      <w:pPr>
        <w:jc w:val="center"/>
        <w:ind w:right="-1100"/>
        <w:spacing w:after="0" w:line="198" w:lineRule="auto"/>
        <w:rPr>
          <w:sz w:val="20"/>
          <w:szCs w:val="20"/>
          <w:color w:val="auto"/>
        </w:rPr>
      </w:pPr>
      <w:r>
        <w:rPr>
          <w:rFonts w:ascii="Arial" w:cs="Arial" w:eastAsia="Arial" w:hAnsi="Arial"/>
          <w:sz w:val="20"/>
          <w:szCs w:val="20"/>
          <w:color w:val="auto"/>
        </w:rPr>
        <w:t>as an Existing Borrower and as the Released Borrower,</w:t>
      </w:r>
    </w:p>
    <w:p>
      <w:pPr>
        <w:jc w:val="center"/>
        <w:ind w:right="-1100"/>
        <w:spacing w:after="0" w:line="197" w:lineRule="auto"/>
        <w:rPr>
          <w:sz w:val="20"/>
          <w:szCs w:val="20"/>
          <w:color w:val="auto"/>
        </w:rPr>
      </w:pPr>
      <w:r>
        <w:rPr>
          <w:rFonts w:ascii="Arial" w:cs="Arial" w:eastAsia="Arial" w:hAnsi="Arial"/>
          <w:sz w:val="20"/>
          <w:szCs w:val="20"/>
          <w:color w:val="auto"/>
        </w:rPr>
        <w:t>CooperSurgical Holdings Limited,</w:t>
      </w:r>
    </w:p>
    <w:p>
      <w:pPr>
        <w:jc w:val="center"/>
        <w:ind w:right="-1100"/>
        <w:spacing w:after="0" w:line="197" w:lineRule="auto"/>
        <w:rPr>
          <w:sz w:val="20"/>
          <w:szCs w:val="20"/>
          <w:color w:val="auto"/>
        </w:rPr>
      </w:pPr>
      <w:r>
        <w:rPr>
          <w:rFonts w:ascii="Arial" w:cs="Arial" w:eastAsia="Arial" w:hAnsi="Arial"/>
          <w:sz w:val="20"/>
          <w:szCs w:val="20"/>
          <w:color w:val="auto"/>
        </w:rPr>
        <w:t>as an Additional Revolving Borrower,</w:t>
      </w:r>
    </w:p>
    <w:p>
      <w:pPr>
        <w:jc w:val="center"/>
        <w:ind w:right="-1100"/>
        <w:spacing w:after="0" w:line="197" w:lineRule="auto"/>
        <w:rPr>
          <w:sz w:val="20"/>
          <w:szCs w:val="20"/>
          <w:color w:val="auto"/>
        </w:rPr>
      </w:pPr>
      <w:r>
        <w:rPr>
          <w:rFonts w:ascii="Arial" w:cs="Arial" w:eastAsia="Arial" w:hAnsi="Arial"/>
          <w:sz w:val="20"/>
          <w:szCs w:val="20"/>
          <w:color w:val="auto"/>
        </w:rPr>
        <w:t>KeyBank National Association, as the Administrative Agent,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Name of Institution:  TD Bank, N.A., as a Lender</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Bernadette Collins</w:t>
      </w:r>
    </w:p>
    <w:p>
      <w:pPr>
        <w:ind w:left="5400"/>
        <w:spacing w:after="0" w:line="197" w:lineRule="auto"/>
        <w:rPr>
          <w:sz w:val="20"/>
          <w:szCs w:val="20"/>
          <w:color w:val="auto"/>
        </w:rPr>
      </w:pPr>
      <w:r>
        <w:rPr>
          <w:rFonts w:ascii="Arial" w:cs="Arial" w:eastAsia="Arial" w:hAnsi="Arial"/>
          <w:sz w:val="20"/>
          <w:szCs w:val="20"/>
          <w:color w:val="auto"/>
        </w:rPr>
        <w:t>Name: Bernadette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12141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[Signtaure Page – Amendment No. 2 and Joinder]</w:t>
      </w:r>
    </w:p>
    <w:p>
      <w:pPr>
        <w:spacing w:after="0"/>
        <w:rPr>
          <w:sz w:val="20"/>
          <w:szCs w:val="20"/>
          <w:color w:val="auto"/>
        </w:rPr>
      </w:pPr>
      <w:r>
        <w:rPr>
          <w:rFonts w:ascii="Arial" w:cs="Arial" w:eastAsia="Arial" w:hAnsi="Arial"/>
          <w:sz w:val="14"/>
          <w:szCs w:val="14"/>
          <w:color w:val="auto"/>
        </w:rPr>
        <w:t>NAI-1523243933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Internal</w:t>
      </w:r>
    </w:p>
    <w:p>
      <w:pPr>
        <w:sectPr>
          <w:pgSz w:w="11900" w:h="16838" w:orient="portrait"/>
          <w:cols w:equalWidth="0" w:num="1">
            <w:col w:w="10139"/>
          </w:cols>
          <w:pgMar w:left="320" w:top="1380" w:right="1440" w:bottom="1440" w:gutter="0" w:footer="0" w:header="0"/>
        </w:sectPr>
      </w:pPr>
    </w:p>
    <w:bookmarkStart w:id="56" w:name="page57"/>
    <w:bookmarkEnd w:id="56"/>
    <w:p>
      <w:pPr>
        <w:jc w:val="center"/>
        <w:ind w:right="-1100"/>
        <w:spacing w:after="0"/>
        <w:rPr>
          <w:sz w:val="20"/>
          <w:szCs w:val="20"/>
          <w:color w:val="auto"/>
        </w:rPr>
      </w:pPr>
      <w:r>
        <w:rPr>
          <w:rFonts w:ascii="Arial" w:cs="Arial" w:eastAsia="Arial" w:hAnsi="Arial"/>
          <w:sz w:val="20"/>
          <w:szCs w:val="20"/>
          <w:color w:val="auto"/>
        </w:rPr>
        <w:t>Signature Page to</w:t>
      </w:r>
    </w:p>
    <w:p>
      <w:pPr>
        <w:jc w:val="center"/>
        <w:ind w:right="-1100"/>
        <w:spacing w:after="0" w:line="219" w:lineRule="auto"/>
        <w:rPr>
          <w:sz w:val="20"/>
          <w:szCs w:val="20"/>
          <w:color w:val="auto"/>
        </w:rPr>
      </w:pPr>
      <w:r>
        <w:rPr>
          <w:rFonts w:ascii="Arial" w:cs="Arial" w:eastAsia="Arial" w:hAnsi="Arial"/>
          <w:sz w:val="18"/>
          <w:szCs w:val="18"/>
          <w:color w:val="auto"/>
        </w:rPr>
        <w:t>Amendment No. 2 and Joinder to Revolving Credit and Term Loan Agreement,</w:t>
      </w:r>
    </w:p>
    <w:p>
      <w:pPr>
        <w:jc w:val="center"/>
        <w:ind w:right="-1100"/>
        <w:spacing w:after="0" w:line="197" w:lineRule="auto"/>
        <w:rPr>
          <w:sz w:val="20"/>
          <w:szCs w:val="20"/>
          <w:color w:val="auto"/>
        </w:rPr>
      </w:pPr>
      <w:r>
        <w:rPr>
          <w:rFonts w:ascii="Arial" w:cs="Arial" w:eastAsia="Arial" w:hAnsi="Arial"/>
          <w:sz w:val="20"/>
          <w:szCs w:val="20"/>
          <w:color w:val="auto"/>
        </w:rPr>
        <w:t>dated as of the date first above written,</w:t>
      </w:r>
    </w:p>
    <w:p>
      <w:pPr>
        <w:jc w:val="center"/>
        <w:ind w:right="-1100"/>
        <w:spacing w:after="0" w:line="219" w:lineRule="auto"/>
        <w:rPr>
          <w:sz w:val="20"/>
          <w:szCs w:val="20"/>
          <w:color w:val="auto"/>
        </w:rPr>
      </w:pPr>
      <w:r>
        <w:rPr>
          <w:rFonts w:ascii="Arial" w:cs="Arial" w:eastAsia="Arial" w:hAnsi="Arial"/>
          <w:sz w:val="18"/>
          <w:szCs w:val="18"/>
          <w:color w:val="auto"/>
        </w:rPr>
        <w:t>among The Cooper Companies, Inc. and CooperVision International Limited,</w:t>
      </w:r>
    </w:p>
    <w:p>
      <w:pPr>
        <w:jc w:val="center"/>
        <w:ind w:right="-1100"/>
        <w:spacing w:after="0" w:line="197" w:lineRule="auto"/>
        <w:rPr>
          <w:sz w:val="20"/>
          <w:szCs w:val="20"/>
          <w:color w:val="auto"/>
        </w:rPr>
      </w:pPr>
      <w:r>
        <w:rPr>
          <w:rFonts w:ascii="Arial" w:cs="Arial" w:eastAsia="Arial" w:hAnsi="Arial"/>
          <w:sz w:val="20"/>
          <w:szCs w:val="20"/>
          <w:color w:val="auto"/>
        </w:rPr>
        <w:t>as Existing Borrowers,</w:t>
      </w:r>
    </w:p>
    <w:p>
      <w:pPr>
        <w:jc w:val="center"/>
        <w:ind w:right="-1100"/>
        <w:spacing w:after="0" w:line="197" w:lineRule="auto"/>
        <w:rPr>
          <w:sz w:val="20"/>
          <w:szCs w:val="20"/>
          <w:color w:val="auto"/>
        </w:rPr>
      </w:pPr>
      <w:r>
        <w:rPr>
          <w:rFonts w:ascii="Arial" w:cs="Arial" w:eastAsia="Arial" w:hAnsi="Arial"/>
          <w:sz w:val="20"/>
          <w:szCs w:val="20"/>
          <w:color w:val="auto"/>
        </w:rPr>
        <w:t>CooperVision Holding Kft.,</w:t>
      </w:r>
    </w:p>
    <w:p>
      <w:pPr>
        <w:jc w:val="center"/>
        <w:ind w:right="-1100"/>
        <w:spacing w:after="0" w:line="198" w:lineRule="auto"/>
        <w:rPr>
          <w:sz w:val="20"/>
          <w:szCs w:val="20"/>
          <w:color w:val="auto"/>
        </w:rPr>
      </w:pPr>
      <w:r>
        <w:rPr>
          <w:rFonts w:ascii="Arial" w:cs="Arial" w:eastAsia="Arial" w:hAnsi="Arial"/>
          <w:sz w:val="20"/>
          <w:szCs w:val="20"/>
          <w:color w:val="auto"/>
        </w:rPr>
        <w:t>as an Existing Borrower and as the Released Borrower,</w:t>
      </w:r>
    </w:p>
    <w:p>
      <w:pPr>
        <w:jc w:val="center"/>
        <w:ind w:right="-1100"/>
        <w:spacing w:after="0" w:line="197" w:lineRule="auto"/>
        <w:rPr>
          <w:sz w:val="20"/>
          <w:szCs w:val="20"/>
          <w:color w:val="auto"/>
        </w:rPr>
      </w:pPr>
      <w:r>
        <w:rPr>
          <w:rFonts w:ascii="Arial" w:cs="Arial" w:eastAsia="Arial" w:hAnsi="Arial"/>
          <w:sz w:val="20"/>
          <w:szCs w:val="20"/>
          <w:color w:val="auto"/>
        </w:rPr>
        <w:t>CooperSurgical Holdings Limited,</w:t>
      </w:r>
    </w:p>
    <w:p>
      <w:pPr>
        <w:jc w:val="center"/>
        <w:ind w:right="-1100"/>
        <w:spacing w:after="0" w:line="197" w:lineRule="auto"/>
        <w:rPr>
          <w:sz w:val="20"/>
          <w:szCs w:val="20"/>
          <w:color w:val="auto"/>
        </w:rPr>
      </w:pPr>
      <w:r>
        <w:rPr>
          <w:rFonts w:ascii="Arial" w:cs="Arial" w:eastAsia="Arial" w:hAnsi="Arial"/>
          <w:sz w:val="20"/>
          <w:szCs w:val="20"/>
          <w:color w:val="auto"/>
        </w:rPr>
        <w:t>as an Additional Revolving Borrower,</w:t>
      </w:r>
    </w:p>
    <w:p>
      <w:pPr>
        <w:jc w:val="center"/>
        <w:ind w:right="-1100"/>
        <w:spacing w:after="0" w:line="197" w:lineRule="auto"/>
        <w:rPr>
          <w:sz w:val="20"/>
          <w:szCs w:val="20"/>
          <w:color w:val="auto"/>
        </w:rPr>
      </w:pPr>
      <w:r>
        <w:rPr>
          <w:rFonts w:ascii="Arial" w:cs="Arial" w:eastAsia="Arial" w:hAnsi="Arial"/>
          <w:sz w:val="20"/>
          <w:szCs w:val="20"/>
          <w:color w:val="auto"/>
        </w:rPr>
        <w:t>KeyBank National Association, as the Administrative Agent,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Name of Institution:  Bank of the West</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Adriana Collins</w:t>
      </w:r>
    </w:p>
    <w:p>
      <w:pPr>
        <w:ind w:left="5400"/>
        <w:spacing w:after="0" w:line="197" w:lineRule="auto"/>
        <w:rPr>
          <w:sz w:val="20"/>
          <w:szCs w:val="20"/>
          <w:color w:val="auto"/>
        </w:rPr>
      </w:pPr>
      <w:r>
        <w:rPr>
          <w:rFonts w:ascii="Arial" w:cs="Arial" w:eastAsia="Arial" w:hAnsi="Arial"/>
          <w:sz w:val="20"/>
          <w:szCs w:val="20"/>
          <w:color w:val="auto"/>
        </w:rPr>
        <w:t>Name: Adriana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10750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[Signtaure Page – Amendment No. 2 and Joinder]</w:t>
      </w:r>
    </w:p>
    <w:p>
      <w:pPr>
        <w:spacing w:after="0"/>
        <w:rPr>
          <w:sz w:val="20"/>
          <w:szCs w:val="20"/>
          <w:color w:val="auto"/>
        </w:rPr>
      </w:pPr>
      <w:r>
        <w:rPr>
          <w:rFonts w:ascii="Arial" w:cs="Arial" w:eastAsia="Arial" w:hAnsi="Arial"/>
          <w:sz w:val="14"/>
          <w:szCs w:val="14"/>
          <w:color w:val="auto"/>
        </w:rPr>
        <w:t>NAI-1523243933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Internal</w:t>
      </w:r>
    </w:p>
    <w:p>
      <w:pPr>
        <w:sectPr>
          <w:pgSz w:w="11900" w:h="16838" w:orient="portrait"/>
          <w:cols w:equalWidth="0" w:num="1">
            <w:col w:w="10139"/>
          </w:cols>
          <w:pgMar w:left="320" w:top="1380" w:right="1440" w:bottom="1440" w:gutter="0" w:footer="0" w:header="0"/>
        </w:sectPr>
      </w:pPr>
    </w:p>
    <w:bookmarkStart w:id="57" w:name="page58"/>
    <w:bookmarkEnd w:id="57"/>
    <w:p>
      <w:pPr>
        <w:spacing w:after="0" w:line="184"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Signature Page to</w:t>
      </w:r>
    </w:p>
    <w:p>
      <w:pPr>
        <w:jc w:val="center"/>
        <w:ind w:right="-1100"/>
        <w:spacing w:after="0" w:line="219" w:lineRule="auto"/>
        <w:rPr>
          <w:sz w:val="20"/>
          <w:szCs w:val="20"/>
          <w:color w:val="auto"/>
        </w:rPr>
      </w:pPr>
      <w:r>
        <w:rPr>
          <w:rFonts w:ascii="Arial" w:cs="Arial" w:eastAsia="Arial" w:hAnsi="Arial"/>
          <w:sz w:val="18"/>
          <w:szCs w:val="18"/>
          <w:color w:val="auto"/>
        </w:rPr>
        <w:t>Amendment No. 2 and Joinder to Revolving Credit and Term Loan Agreement,</w:t>
      </w:r>
    </w:p>
    <w:p>
      <w:pPr>
        <w:jc w:val="center"/>
        <w:ind w:right="-1100"/>
        <w:spacing w:after="0" w:line="197" w:lineRule="auto"/>
        <w:rPr>
          <w:sz w:val="20"/>
          <w:szCs w:val="20"/>
          <w:color w:val="auto"/>
        </w:rPr>
      </w:pPr>
      <w:r>
        <w:rPr>
          <w:rFonts w:ascii="Arial" w:cs="Arial" w:eastAsia="Arial" w:hAnsi="Arial"/>
          <w:sz w:val="20"/>
          <w:szCs w:val="20"/>
          <w:color w:val="auto"/>
        </w:rPr>
        <w:t>dated as of the date first above written,</w:t>
      </w:r>
    </w:p>
    <w:p>
      <w:pPr>
        <w:jc w:val="center"/>
        <w:ind w:right="-1100"/>
        <w:spacing w:after="0" w:line="219" w:lineRule="auto"/>
        <w:rPr>
          <w:sz w:val="20"/>
          <w:szCs w:val="20"/>
          <w:color w:val="auto"/>
        </w:rPr>
      </w:pPr>
      <w:r>
        <w:rPr>
          <w:rFonts w:ascii="Arial" w:cs="Arial" w:eastAsia="Arial" w:hAnsi="Arial"/>
          <w:sz w:val="18"/>
          <w:szCs w:val="18"/>
          <w:color w:val="auto"/>
        </w:rPr>
        <w:t>among The Cooper Companies, Inc. and CooperVision International Limited,</w:t>
      </w:r>
    </w:p>
    <w:p>
      <w:pPr>
        <w:jc w:val="center"/>
        <w:ind w:right="-1100"/>
        <w:spacing w:after="0" w:line="197" w:lineRule="auto"/>
        <w:rPr>
          <w:sz w:val="20"/>
          <w:szCs w:val="20"/>
          <w:color w:val="auto"/>
        </w:rPr>
      </w:pPr>
      <w:r>
        <w:rPr>
          <w:rFonts w:ascii="Arial" w:cs="Arial" w:eastAsia="Arial" w:hAnsi="Arial"/>
          <w:sz w:val="20"/>
          <w:szCs w:val="20"/>
          <w:color w:val="auto"/>
        </w:rPr>
        <w:t>as Existing Borrowers,</w:t>
      </w:r>
    </w:p>
    <w:p>
      <w:pPr>
        <w:jc w:val="center"/>
        <w:ind w:right="-1100"/>
        <w:spacing w:after="0" w:line="197" w:lineRule="auto"/>
        <w:rPr>
          <w:sz w:val="20"/>
          <w:szCs w:val="20"/>
          <w:color w:val="auto"/>
        </w:rPr>
      </w:pPr>
      <w:r>
        <w:rPr>
          <w:rFonts w:ascii="Arial" w:cs="Arial" w:eastAsia="Arial" w:hAnsi="Arial"/>
          <w:sz w:val="20"/>
          <w:szCs w:val="20"/>
          <w:color w:val="auto"/>
        </w:rPr>
        <w:t>CooperVision Holding Kft.,</w:t>
      </w:r>
    </w:p>
    <w:p>
      <w:pPr>
        <w:jc w:val="center"/>
        <w:ind w:right="-1100"/>
        <w:spacing w:after="0" w:line="198" w:lineRule="auto"/>
        <w:rPr>
          <w:sz w:val="20"/>
          <w:szCs w:val="20"/>
          <w:color w:val="auto"/>
        </w:rPr>
      </w:pPr>
      <w:r>
        <w:rPr>
          <w:rFonts w:ascii="Arial" w:cs="Arial" w:eastAsia="Arial" w:hAnsi="Arial"/>
          <w:sz w:val="20"/>
          <w:szCs w:val="20"/>
          <w:color w:val="auto"/>
        </w:rPr>
        <w:t>as an Existing Borrower and as the Released Borrower,</w:t>
      </w:r>
    </w:p>
    <w:p>
      <w:pPr>
        <w:jc w:val="center"/>
        <w:ind w:right="-1100"/>
        <w:spacing w:after="0" w:line="197" w:lineRule="auto"/>
        <w:rPr>
          <w:sz w:val="20"/>
          <w:szCs w:val="20"/>
          <w:color w:val="auto"/>
        </w:rPr>
      </w:pPr>
      <w:r>
        <w:rPr>
          <w:rFonts w:ascii="Arial" w:cs="Arial" w:eastAsia="Arial" w:hAnsi="Arial"/>
          <w:sz w:val="20"/>
          <w:szCs w:val="20"/>
          <w:color w:val="auto"/>
        </w:rPr>
        <w:t>CooperSurgical Holdings Limited,</w:t>
      </w:r>
    </w:p>
    <w:p>
      <w:pPr>
        <w:jc w:val="center"/>
        <w:ind w:right="-1100"/>
        <w:spacing w:after="0" w:line="197" w:lineRule="auto"/>
        <w:rPr>
          <w:sz w:val="20"/>
          <w:szCs w:val="20"/>
          <w:color w:val="auto"/>
        </w:rPr>
      </w:pPr>
      <w:r>
        <w:rPr>
          <w:rFonts w:ascii="Arial" w:cs="Arial" w:eastAsia="Arial" w:hAnsi="Arial"/>
          <w:sz w:val="20"/>
          <w:szCs w:val="20"/>
          <w:color w:val="auto"/>
        </w:rPr>
        <w:t>as an Additional Revolving Borrower,</w:t>
      </w:r>
    </w:p>
    <w:p>
      <w:pPr>
        <w:jc w:val="center"/>
        <w:ind w:right="-1100"/>
        <w:spacing w:after="0" w:line="197" w:lineRule="auto"/>
        <w:rPr>
          <w:sz w:val="20"/>
          <w:szCs w:val="20"/>
          <w:color w:val="auto"/>
        </w:rPr>
      </w:pPr>
      <w:r>
        <w:rPr>
          <w:rFonts w:ascii="Arial" w:cs="Arial" w:eastAsia="Arial" w:hAnsi="Arial"/>
          <w:sz w:val="20"/>
          <w:szCs w:val="20"/>
          <w:color w:val="auto"/>
        </w:rPr>
        <w:t>KeyBank National Association, as the Administrative Agent,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Name of Institution:  CITlZENS BANK, N.A.,</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Mark Guyeski</w:t>
      </w:r>
    </w:p>
    <w:p>
      <w:pPr>
        <w:ind w:left="5400"/>
        <w:spacing w:after="0" w:line="197" w:lineRule="auto"/>
        <w:rPr>
          <w:sz w:val="20"/>
          <w:szCs w:val="20"/>
          <w:color w:val="auto"/>
        </w:rPr>
      </w:pPr>
      <w:r>
        <w:rPr>
          <w:rFonts w:ascii="Arial" w:cs="Arial" w:eastAsia="Arial" w:hAnsi="Arial"/>
          <w:sz w:val="20"/>
          <w:szCs w:val="20"/>
          <w:color w:val="auto"/>
        </w:rPr>
        <w:t>Name: Mark Guyeski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9982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[Signtaure Page – Amendment No. 2 and Joinder]</w:t>
      </w:r>
    </w:p>
    <w:p>
      <w:pPr>
        <w:spacing w:after="0"/>
        <w:rPr>
          <w:sz w:val="20"/>
          <w:szCs w:val="20"/>
          <w:color w:val="auto"/>
        </w:rPr>
      </w:pPr>
      <w:r>
        <w:rPr>
          <w:rFonts w:ascii="Arial" w:cs="Arial" w:eastAsia="Arial" w:hAnsi="Arial"/>
          <w:sz w:val="14"/>
          <w:szCs w:val="14"/>
          <w:color w:val="auto"/>
        </w:rPr>
        <w:t>NAI-1523243933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Internal</w:t>
      </w:r>
    </w:p>
    <w:p>
      <w:pPr>
        <w:sectPr>
          <w:pgSz w:w="11900" w:h="16838" w:orient="portrait"/>
          <w:cols w:equalWidth="0" w:num="1">
            <w:col w:w="10139"/>
          </w:cols>
          <w:pgMar w:left="320" w:top="1440" w:right="1440" w:bottom="1440" w:gutter="0" w:footer="0" w:header="0"/>
        </w:sectPr>
      </w:pPr>
    </w:p>
    <w:bookmarkStart w:id="58" w:name="page59"/>
    <w:bookmarkEnd w:id="58"/>
    <w:p>
      <w:pPr>
        <w:spacing w:after="0" w:line="184"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Signature Page to</w:t>
      </w:r>
    </w:p>
    <w:p>
      <w:pPr>
        <w:jc w:val="center"/>
        <w:ind w:right="-1100"/>
        <w:spacing w:after="0" w:line="219" w:lineRule="auto"/>
        <w:rPr>
          <w:sz w:val="20"/>
          <w:szCs w:val="20"/>
          <w:color w:val="auto"/>
        </w:rPr>
      </w:pPr>
      <w:r>
        <w:rPr>
          <w:rFonts w:ascii="Arial" w:cs="Arial" w:eastAsia="Arial" w:hAnsi="Arial"/>
          <w:sz w:val="18"/>
          <w:szCs w:val="18"/>
          <w:color w:val="auto"/>
        </w:rPr>
        <w:t>Amendment No. 2 and Joinder to Revolving Credit and Term Loan Agreement,</w:t>
      </w:r>
    </w:p>
    <w:p>
      <w:pPr>
        <w:jc w:val="center"/>
        <w:ind w:right="-1100"/>
        <w:spacing w:after="0" w:line="197" w:lineRule="auto"/>
        <w:rPr>
          <w:sz w:val="20"/>
          <w:szCs w:val="20"/>
          <w:color w:val="auto"/>
        </w:rPr>
      </w:pPr>
      <w:r>
        <w:rPr>
          <w:rFonts w:ascii="Arial" w:cs="Arial" w:eastAsia="Arial" w:hAnsi="Arial"/>
          <w:sz w:val="20"/>
          <w:szCs w:val="20"/>
          <w:color w:val="auto"/>
        </w:rPr>
        <w:t>dated as of the date first above written,</w:t>
      </w:r>
    </w:p>
    <w:p>
      <w:pPr>
        <w:jc w:val="center"/>
        <w:ind w:right="-1100"/>
        <w:spacing w:after="0" w:line="219" w:lineRule="auto"/>
        <w:rPr>
          <w:sz w:val="20"/>
          <w:szCs w:val="20"/>
          <w:color w:val="auto"/>
        </w:rPr>
      </w:pPr>
      <w:r>
        <w:rPr>
          <w:rFonts w:ascii="Arial" w:cs="Arial" w:eastAsia="Arial" w:hAnsi="Arial"/>
          <w:sz w:val="18"/>
          <w:szCs w:val="18"/>
          <w:color w:val="auto"/>
        </w:rPr>
        <w:t>among The Cooper Companies, Inc. and CooperVision International Limited,</w:t>
      </w:r>
    </w:p>
    <w:p>
      <w:pPr>
        <w:jc w:val="center"/>
        <w:ind w:right="-1100"/>
        <w:spacing w:after="0" w:line="197" w:lineRule="auto"/>
        <w:rPr>
          <w:sz w:val="20"/>
          <w:szCs w:val="20"/>
          <w:color w:val="auto"/>
        </w:rPr>
      </w:pPr>
      <w:r>
        <w:rPr>
          <w:rFonts w:ascii="Arial" w:cs="Arial" w:eastAsia="Arial" w:hAnsi="Arial"/>
          <w:sz w:val="20"/>
          <w:szCs w:val="20"/>
          <w:color w:val="auto"/>
        </w:rPr>
        <w:t>as Existing Borrowers,</w:t>
      </w:r>
    </w:p>
    <w:p>
      <w:pPr>
        <w:jc w:val="center"/>
        <w:ind w:right="-1100"/>
        <w:spacing w:after="0" w:line="197" w:lineRule="auto"/>
        <w:rPr>
          <w:sz w:val="20"/>
          <w:szCs w:val="20"/>
          <w:color w:val="auto"/>
        </w:rPr>
      </w:pPr>
      <w:r>
        <w:rPr>
          <w:rFonts w:ascii="Arial" w:cs="Arial" w:eastAsia="Arial" w:hAnsi="Arial"/>
          <w:sz w:val="20"/>
          <w:szCs w:val="20"/>
          <w:color w:val="auto"/>
        </w:rPr>
        <w:t>CooperVision Holding Kft.,</w:t>
      </w:r>
    </w:p>
    <w:p>
      <w:pPr>
        <w:jc w:val="center"/>
        <w:ind w:right="-1100"/>
        <w:spacing w:after="0" w:line="198" w:lineRule="auto"/>
        <w:rPr>
          <w:sz w:val="20"/>
          <w:szCs w:val="20"/>
          <w:color w:val="auto"/>
        </w:rPr>
      </w:pPr>
      <w:r>
        <w:rPr>
          <w:rFonts w:ascii="Arial" w:cs="Arial" w:eastAsia="Arial" w:hAnsi="Arial"/>
          <w:sz w:val="20"/>
          <w:szCs w:val="20"/>
          <w:color w:val="auto"/>
        </w:rPr>
        <w:t>as an Existing Borrower and as the Released Borrower,</w:t>
      </w:r>
    </w:p>
    <w:p>
      <w:pPr>
        <w:jc w:val="center"/>
        <w:ind w:right="-1100"/>
        <w:spacing w:after="0" w:line="197" w:lineRule="auto"/>
        <w:rPr>
          <w:sz w:val="20"/>
          <w:szCs w:val="20"/>
          <w:color w:val="auto"/>
        </w:rPr>
      </w:pPr>
      <w:r>
        <w:rPr>
          <w:rFonts w:ascii="Arial" w:cs="Arial" w:eastAsia="Arial" w:hAnsi="Arial"/>
          <w:sz w:val="20"/>
          <w:szCs w:val="20"/>
          <w:color w:val="auto"/>
        </w:rPr>
        <w:t>CooperSurgical Holdings Limited,</w:t>
      </w:r>
    </w:p>
    <w:p>
      <w:pPr>
        <w:jc w:val="center"/>
        <w:ind w:right="-1100"/>
        <w:spacing w:after="0" w:line="197" w:lineRule="auto"/>
        <w:rPr>
          <w:sz w:val="20"/>
          <w:szCs w:val="20"/>
          <w:color w:val="auto"/>
        </w:rPr>
      </w:pPr>
      <w:r>
        <w:rPr>
          <w:rFonts w:ascii="Arial" w:cs="Arial" w:eastAsia="Arial" w:hAnsi="Arial"/>
          <w:sz w:val="20"/>
          <w:szCs w:val="20"/>
          <w:color w:val="auto"/>
        </w:rPr>
        <w:t>as an Additional Revolving Borrower,</w:t>
      </w:r>
    </w:p>
    <w:p>
      <w:pPr>
        <w:jc w:val="center"/>
        <w:ind w:right="-1100"/>
        <w:spacing w:after="0" w:line="197" w:lineRule="auto"/>
        <w:rPr>
          <w:sz w:val="20"/>
          <w:szCs w:val="20"/>
          <w:color w:val="auto"/>
        </w:rPr>
      </w:pPr>
      <w:r>
        <w:rPr>
          <w:rFonts w:ascii="Arial" w:cs="Arial" w:eastAsia="Arial" w:hAnsi="Arial"/>
          <w:sz w:val="20"/>
          <w:szCs w:val="20"/>
          <w:color w:val="auto"/>
        </w:rPr>
        <w:t>KeyBank National Association, as the Administrative Agent,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Name of Institution:  MIZUHO BANK, LTD.</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Tracy Rahn</w:t>
      </w:r>
    </w:p>
    <w:p>
      <w:pPr>
        <w:ind w:left="5400"/>
        <w:spacing w:after="0" w:line="197" w:lineRule="auto"/>
        <w:rPr>
          <w:sz w:val="20"/>
          <w:szCs w:val="20"/>
          <w:color w:val="auto"/>
        </w:rPr>
      </w:pPr>
      <w:r>
        <w:rPr>
          <w:rFonts w:ascii="Arial" w:cs="Arial" w:eastAsia="Arial" w:hAnsi="Arial"/>
          <w:sz w:val="20"/>
          <w:szCs w:val="20"/>
          <w:color w:val="auto"/>
        </w:rPr>
        <w:t>Name: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8610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[Signtaure Page – Amendment No. 2 and Joinder]</w:t>
      </w:r>
    </w:p>
    <w:p>
      <w:pPr>
        <w:spacing w:after="0"/>
        <w:rPr>
          <w:sz w:val="20"/>
          <w:szCs w:val="20"/>
          <w:color w:val="auto"/>
        </w:rPr>
      </w:pPr>
      <w:r>
        <w:rPr>
          <w:rFonts w:ascii="Arial" w:cs="Arial" w:eastAsia="Arial" w:hAnsi="Arial"/>
          <w:sz w:val="14"/>
          <w:szCs w:val="14"/>
          <w:color w:val="auto"/>
        </w:rPr>
        <w:t>NAI-1523243933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Internal</w:t>
      </w:r>
    </w:p>
    <w:p>
      <w:pPr>
        <w:sectPr>
          <w:pgSz w:w="11900" w:h="16838" w:orient="portrait"/>
          <w:cols w:equalWidth="0" w:num="1">
            <w:col w:w="10139"/>
          </w:cols>
          <w:pgMar w:left="320" w:top="1440" w:right="1440" w:bottom="1440" w:gutter="0" w:footer="0" w:header="0"/>
        </w:sectPr>
      </w:pPr>
    </w:p>
    <w:bookmarkStart w:id="59" w:name="page60"/>
    <w:bookmarkEnd w:id="59"/>
    <w:p>
      <w:pPr>
        <w:spacing w:after="0" w:line="184"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Signature Page to</w:t>
      </w:r>
    </w:p>
    <w:p>
      <w:pPr>
        <w:jc w:val="center"/>
        <w:ind w:right="-1100"/>
        <w:spacing w:after="0" w:line="219" w:lineRule="auto"/>
        <w:rPr>
          <w:sz w:val="20"/>
          <w:szCs w:val="20"/>
          <w:color w:val="auto"/>
        </w:rPr>
      </w:pPr>
      <w:r>
        <w:rPr>
          <w:rFonts w:ascii="Arial" w:cs="Arial" w:eastAsia="Arial" w:hAnsi="Arial"/>
          <w:sz w:val="18"/>
          <w:szCs w:val="18"/>
          <w:color w:val="auto"/>
        </w:rPr>
        <w:t>Amendment No. 2 and Joinder to Revolving Credit and Term Loan Agreement,</w:t>
      </w:r>
    </w:p>
    <w:p>
      <w:pPr>
        <w:jc w:val="center"/>
        <w:ind w:right="-1100"/>
        <w:spacing w:after="0" w:line="197" w:lineRule="auto"/>
        <w:rPr>
          <w:sz w:val="20"/>
          <w:szCs w:val="20"/>
          <w:color w:val="auto"/>
        </w:rPr>
      </w:pPr>
      <w:r>
        <w:rPr>
          <w:rFonts w:ascii="Arial" w:cs="Arial" w:eastAsia="Arial" w:hAnsi="Arial"/>
          <w:sz w:val="20"/>
          <w:szCs w:val="20"/>
          <w:color w:val="auto"/>
        </w:rPr>
        <w:t>dated as of the date first above written,</w:t>
      </w:r>
    </w:p>
    <w:p>
      <w:pPr>
        <w:jc w:val="center"/>
        <w:ind w:right="-1100"/>
        <w:spacing w:after="0" w:line="219" w:lineRule="auto"/>
        <w:rPr>
          <w:sz w:val="20"/>
          <w:szCs w:val="20"/>
          <w:color w:val="auto"/>
        </w:rPr>
      </w:pPr>
      <w:r>
        <w:rPr>
          <w:rFonts w:ascii="Arial" w:cs="Arial" w:eastAsia="Arial" w:hAnsi="Arial"/>
          <w:sz w:val="18"/>
          <w:szCs w:val="18"/>
          <w:color w:val="auto"/>
        </w:rPr>
        <w:t>among The Cooper Companies, Inc. and CooperVision International Limited,</w:t>
      </w:r>
    </w:p>
    <w:p>
      <w:pPr>
        <w:jc w:val="center"/>
        <w:ind w:right="-1100"/>
        <w:spacing w:after="0" w:line="197" w:lineRule="auto"/>
        <w:rPr>
          <w:sz w:val="20"/>
          <w:szCs w:val="20"/>
          <w:color w:val="auto"/>
        </w:rPr>
      </w:pPr>
      <w:r>
        <w:rPr>
          <w:rFonts w:ascii="Arial" w:cs="Arial" w:eastAsia="Arial" w:hAnsi="Arial"/>
          <w:sz w:val="20"/>
          <w:szCs w:val="20"/>
          <w:color w:val="auto"/>
        </w:rPr>
        <w:t>as Existing Borrowers,</w:t>
      </w:r>
    </w:p>
    <w:p>
      <w:pPr>
        <w:jc w:val="center"/>
        <w:ind w:right="-1100"/>
        <w:spacing w:after="0" w:line="197" w:lineRule="auto"/>
        <w:rPr>
          <w:sz w:val="20"/>
          <w:szCs w:val="20"/>
          <w:color w:val="auto"/>
        </w:rPr>
      </w:pPr>
      <w:r>
        <w:rPr>
          <w:rFonts w:ascii="Arial" w:cs="Arial" w:eastAsia="Arial" w:hAnsi="Arial"/>
          <w:sz w:val="20"/>
          <w:szCs w:val="20"/>
          <w:color w:val="auto"/>
        </w:rPr>
        <w:t>CooperVision Holding Kft.,</w:t>
      </w:r>
    </w:p>
    <w:p>
      <w:pPr>
        <w:jc w:val="center"/>
        <w:ind w:right="-1100"/>
        <w:spacing w:after="0" w:line="198" w:lineRule="auto"/>
        <w:rPr>
          <w:sz w:val="20"/>
          <w:szCs w:val="20"/>
          <w:color w:val="auto"/>
        </w:rPr>
      </w:pPr>
      <w:r>
        <w:rPr>
          <w:rFonts w:ascii="Arial" w:cs="Arial" w:eastAsia="Arial" w:hAnsi="Arial"/>
          <w:sz w:val="20"/>
          <w:szCs w:val="20"/>
          <w:color w:val="auto"/>
        </w:rPr>
        <w:t>as an Existing Borrower and as the Released Borrower,</w:t>
      </w:r>
    </w:p>
    <w:p>
      <w:pPr>
        <w:jc w:val="center"/>
        <w:ind w:right="-1100"/>
        <w:spacing w:after="0" w:line="197" w:lineRule="auto"/>
        <w:rPr>
          <w:sz w:val="20"/>
          <w:szCs w:val="20"/>
          <w:color w:val="auto"/>
        </w:rPr>
      </w:pPr>
      <w:r>
        <w:rPr>
          <w:rFonts w:ascii="Arial" w:cs="Arial" w:eastAsia="Arial" w:hAnsi="Arial"/>
          <w:sz w:val="20"/>
          <w:szCs w:val="20"/>
          <w:color w:val="auto"/>
        </w:rPr>
        <w:t>CooperSurgical Holdings Limited,</w:t>
      </w:r>
    </w:p>
    <w:p>
      <w:pPr>
        <w:jc w:val="center"/>
        <w:ind w:right="-1100"/>
        <w:spacing w:after="0" w:line="197" w:lineRule="auto"/>
        <w:rPr>
          <w:sz w:val="20"/>
          <w:szCs w:val="20"/>
          <w:color w:val="auto"/>
        </w:rPr>
      </w:pPr>
      <w:r>
        <w:rPr>
          <w:rFonts w:ascii="Arial" w:cs="Arial" w:eastAsia="Arial" w:hAnsi="Arial"/>
          <w:sz w:val="20"/>
          <w:szCs w:val="20"/>
          <w:color w:val="auto"/>
        </w:rPr>
        <w:t>as an Additional Revolving Borrower,</w:t>
      </w:r>
    </w:p>
    <w:p>
      <w:pPr>
        <w:jc w:val="center"/>
        <w:ind w:right="-1100"/>
        <w:spacing w:after="0" w:line="197" w:lineRule="auto"/>
        <w:rPr>
          <w:sz w:val="20"/>
          <w:szCs w:val="20"/>
          <w:color w:val="auto"/>
        </w:rPr>
      </w:pPr>
      <w:r>
        <w:rPr>
          <w:rFonts w:ascii="Arial" w:cs="Arial" w:eastAsia="Arial" w:hAnsi="Arial"/>
          <w:sz w:val="20"/>
          <w:szCs w:val="20"/>
          <w:color w:val="auto"/>
        </w:rPr>
        <w:t>KeyBank National Association, as the Administrative Agent,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Name of Institution:  THE BANK OF NOVA SCOTIA</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Robb Gass</w:t>
      </w:r>
    </w:p>
    <w:p>
      <w:pPr>
        <w:ind w:left="5400"/>
        <w:spacing w:after="0" w:line="197" w:lineRule="auto"/>
        <w:rPr>
          <w:sz w:val="20"/>
          <w:szCs w:val="20"/>
          <w:color w:val="auto"/>
        </w:rPr>
      </w:pPr>
      <w:r>
        <w:rPr>
          <w:rFonts w:ascii="Arial" w:cs="Arial" w:eastAsia="Arial" w:hAnsi="Arial"/>
          <w:sz w:val="20"/>
          <w:szCs w:val="20"/>
          <w:color w:val="auto"/>
        </w:rPr>
        <w:t>Name: Robb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8235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82359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[Signtaure Page – Amendment No. 2 and Joinder]</w:t>
      </w:r>
    </w:p>
    <w:p>
      <w:pPr>
        <w:spacing w:after="0"/>
        <w:rPr>
          <w:sz w:val="20"/>
          <w:szCs w:val="20"/>
          <w:color w:val="auto"/>
        </w:rPr>
      </w:pPr>
      <w:r>
        <w:rPr>
          <w:rFonts w:ascii="Arial" w:cs="Arial" w:eastAsia="Arial" w:hAnsi="Arial"/>
          <w:sz w:val="14"/>
          <w:szCs w:val="14"/>
          <w:color w:val="auto"/>
        </w:rPr>
        <w:t>NAI-1523243933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Internal</w:t>
      </w:r>
    </w:p>
    <w:p>
      <w:pPr>
        <w:sectPr>
          <w:pgSz w:w="11900" w:h="16838" w:orient="portrait"/>
          <w:cols w:equalWidth="0" w:num="1">
            <w:col w:w="10139"/>
          </w:cols>
          <w:pgMar w:left="320" w:top="1440" w:right="1440" w:bottom="1440" w:gutter="0" w:footer="0" w:header="0"/>
        </w:sectPr>
      </w:pPr>
    </w:p>
    <w:bookmarkStart w:id="60" w:name="page61"/>
    <w:bookmarkEnd w:id="60"/>
    <w:p>
      <w:pPr>
        <w:spacing w:after="0" w:line="184"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Signature Page to</w:t>
      </w:r>
    </w:p>
    <w:p>
      <w:pPr>
        <w:jc w:val="center"/>
        <w:ind w:right="-1100"/>
        <w:spacing w:after="0" w:line="219" w:lineRule="auto"/>
        <w:rPr>
          <w:sz w:val="20"/>
          <w:szCs w:val="20"/>
          <w:color w:val="auto"/>
        </w:rPr>
      </w:pPr>
      <w:r>
        <w:rPr>
          <w:rFonts w:ascii="Arial" w:cs="Arial" w:eastAsia="Arial" w:hAnsi="Arial"/>
          <w:sz w:val="18"/>
          <w:szCs w:val="18"/>
          <w:color w:val="auto"/>
        </w:rPr>
        <w:t>Amendment No. 2 and Joinder to Revolving Credit and Term Loan Agreement,</w:t>
      </w:r>
    </w:p>
    <w:p>
      <w:pPr>
        <w:jc w:val="center"/>
        <w:ind w:right="-1100"/>
        <w:spacing w:after="0" w:line="197" w:lineRule="auto"/>
        <w:rPr>
          <w:sz w:val="20"/>
          <w:szCs w:val="20"/>
          <w:color w:val="auto"/>
        </w:rPr>
      </w:pPr>
      <w:r>
        <w:rPr>
          <w:rFonts w:ascii="Arial" w:cs="Arial" w:eastAsia="Arial" w:hAnsi="Arial"/>
          <w:sz w:val="20"/>
          <w:szCs w:val="20"/>
          <w:color w:val="auto"/>
        </w:rPr>
        <w:t>dated as of the date first above written,</w:t>
      </w:r>
    </w:p>
    <w:p>
      <w:pPr>
        <w:jc w:val="center"/>
        <w:ind w:right="-1100"/>
        <w:spacing w:after="0" w:line="219" w:lineRule="auto"/>
        <w:rPr>
          <w:sz w:val="20"/>
          <w:szCs w:val="20"/>
          <w:color w:val="auto"/>
        </w:rPr>
      </w:pPr>
      <w:r>
        <w:rPr>
          <w:rFonts w:ascii="Arial" w:cs="Arial" w:eastAsia="Arial" w:hAnsi="Arial"/>
          <w:sz w:val="18"/>
          <w:szCs w:val="18"/>
          <w:color w:val="auto"/>
        </w:rPr>
        <w:t>among The Cooper Companies, Inc. and CooperVision International Limited,</w:t>
      </w:r>
    </w:p>
    <w:p>
      <w:pPr>
        <w:jc w:val="center"/>
        <w:ind w:right="-1100"/>
        <w:spacing w:after="0" w:line="197" w:lineRule="auto"/>
        <w:rPr>
          <w:sz w:val="20"/>
          <w:szCs w:val="20"/>
          <w:color w:val="auto"/>
        </w:rPr>
      </w:pPr>
      <w:r>
        <w:rPr>
          <w:rFonts w:ascii="Arial" w:cs="Arial" w:eastAsia="Arial" w:hAnsi="Arial"/>
          <w:sz w:val="20"/>
          <w:szCs w:val="20"/>
          <w:color w:val="auto"/>
        </w:rPr>
        <w:t>as Existing Borrowers,</w:t>
      </w:r>
    </w:p>
    <w:p>
      <w:pPr>
        <w:jc w:val="center"/>
        <w:ind w:right="-1100"/>
        <w:spacing w:after="0" w:line="197" w:lineRule="auto"/>
        <w:rPr>
          <w:sz w:val="20"/>
          <w:szCs w:val="20"/>
          <w:color w:val="auto"/>
        </w:rPr>
      </w:pPr>
      <w:r>
        <w:rPr>
          <w:rFonts w:ascii="Arial" w:cs="Arial" w:eastAsia="Arial" w:hAnsi="Arial"/>
          <w:sz w:val="20"/>
          <w:szCs w:val="20"/>
          <w:color w:val="auto"/>
        </w:rPr>
        <w:t>CooperVision Holding Kft.,</w:t>
      </w:r>
    </w:p>
    <w:p>
      <w:pPr>
        <w:jc w:val="center"/>
        <w:ind w:right="-1100"/>
        <w:spacing w:after="0" w:line="198" w:lineRule="auto"/>
        <w:rPr>
          <w:sz w:val="20"/>
          <w:szCs w:val="20"/>
          <w:color w:val="auto"/>
        </w:rPr>
      </w:pPr>
      <w:r>
        <w:rPr>
          <w:rFonts w:ascii="Arial" w:cs="Arial" w:eastAsia="Arial" w:hAnsi="Arial"/>
          <w:sz w:val="20"/>
          <w:szCs w:val="20"/>
          <w:color w:val="auto"/>
        </w:rPr>
        <w:t>as an Existing Borrower and as the Released Borrower,</w:t>
      </w:r>
    </w:p>
    <w:p>
      <w:pPr>
        <w:jc w:val="center"/>
        <w:ind w:right="-1100"/>
        <w:spacing w:after="0" w:line="197" w:lineRule="auto"/>
        <w:rPr>
          <w:sz w:val="20"/>
          <w:szCs w:val="20"/>
          <w:color w:val="auto"/>
        </w:rPr>
      </w:pPr>
      <w:r>
        <w:rPr>
          <w:rFonts w:ascii="Arial" w:cs="Arial" w:eastAsia="Arial" w:hAnsi="Arial"/>
          <w:sz w:val="20"/>
          <w:szCs w:val="20"/>
          <w:color w:val="auto"/>
        </w:rPr>
        <w:t>CooperSurgical Holdings Limited,</w:t>
      </w:r>
    </w:p>
    <w:p>
      <w:pPr>
        <w:jc w:val="center"/>
        <w:ind w:right="-1100"/>
        <w:spacing w:after="0" w:line="197" w:lineRule="auto"/>
        <w:rPr>
          <w:sz w:val="20"/>
          <w:szCs w:val="20"/>
          <w:color w:val="auto"/>
        </w:rPr>
      </w:pPr>
      <w:r>
        <w:rPr>
          <w:rFonts w:ascii="Arial" w:cs="Arial" w:eastAsia="Arial" w:hAnsi="Arial"/>
          <w:sz w:val="20"/>
          <w:szCs w:val="20"/>
          <w:color w:val="auto"/>
        </w:rPr>
        <w:t>as an Additional Revolving Borrower,</w:t>
      </w:r>
    </w:p>
    <w:p>
      <w:pPr>
        <w:jc w:val="center"/>
        <w:ind w:right="-1100"/>
        <w:spacing w:after="0" w:line="197" w:lineRule="auto"/>
        <w:rPr>
          <w:sz w:val="20"/>
          <w:szCs w:val="20"/>
          <w:color w:val="auto"/>
        </w:rPr>
      </w:pPr>
      <w:r>
        <w:rPr>
          <w:rFonts w:ascii="Arial" w:cs="Arial" w:eastAsia="Arial" w:hAnsi="Arial"/>
          <w:sz w:val="20"/>
          <w:szCs w:val="20"/>
          <w:color w:val="auto"/>
        </w:rPr>
        <w:t>KeyBank National Association, as the Administrative Agent,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Name of Institution:  U.S. BANK NATIONAL ASSOCIATION</w:t>
      </w: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Tom Priedeman</w:t>
      </w:r>
    </w:p>
    <w:p>
      <w:pPr>
        <w:ind w:left="5400"/>
        <w:spacing w:after="0" w:line="197" w:lineRule="auto"/>
        <w:rPr>
          <w:sz w:val="20"/>
          <w:szCs w:val="20"/>
          <w:color w:val="auto"/>
        </w:rPr>
      </w:pPr>
      <w:r>
        <w:rPr>
          <w:rFonts w:ascii="Arial" w:cs="Arial" w:eastAsia="Arial" w:hAnsi="Arial"/>
          <w:sz w:val="20"/>
          <w:szCs w:val="20"/>
          <w:color w:val="auto"/>
        </w:rPr>
        <w:t>Name: Tom Priedeman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10731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[Signtaure Page – Amendment No. 2 and Joinder]</w:t>
      </w:r>
    </w:p>
    <w:p>
      <w:pPr>
        <w:spacing w:after="0"/>
        <w:rPr>
          <w:sz w:val="20"/>
          <w:szCs w:val="20"/>
          <w:color w:val="auto"/>
        </w:rPr>
      </w:pPr>
      <w:r>
        <w:rPr>
          <w:rFonts w:ascii="Arial" w:cs="Arial" w:eastAsia="Arial" w:hAnsi="Arial"/>
          <w:sz w:val="14"/>
          <w:szCs w:val="14"/>
          <w:color w:val="auto"/>
        </w:rPr>
        <w:t>NAI-1523243933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Internal</w:t>
      </w:r>
    </w:p>
    <w:p>
      <w:pPr>
        <w:sectPr>
          <w:pgSz w:w="11900" w:h="16838" w:orient="portrait"/>
          <w:cols w:equalWidth="0" w:num="1">
            <w:col w:w="10139"/>
          </w:cols>
          <w:pgMar w:left="320" w:top="1440" w:right="1440" w:bottom="1440" w:gutter="0" w:footer="0" w:header="0"/>
        </w:sectPr>
      </w:pPr>
    </w:p>
    <w:bookmarkStart w:id="61" w:name="page62"/>
    <w:bookmarkEnd w:id="61"/>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Signature Page to</w:t>
      </w:r>
    </w:p>
    <w:p>
      <w:pPr>
        <w:jc w:val="center"/>
        <w:ind w:right="-1120"/>
        <w:spacing w:after="0" w:line="197" w:lineRule="auto"/>
        <w:rPr>
          <w:sz w:val="20"/>
          <w:szCs w:val="20"/>
          <w:color w:val="auto"/>
        </w:rPr>
      </w:pPr>
      <w:r>
        <w:rPr>
          <w:rFonts w:ascii="Arial" w:cs="Arial" w:eastAsia="Arial" w:hAnsi="Arial"/>
          <w:sz w:val="20"/>
          <w:szCs w:val="20"/>
          <w:color w:val="auto"/>
        </w:rPr>
        <w:t>Amendment No. 2 and Joinder to Revolving Credit and Term Loan Agreement,</w:t>
      </w:r>
    </w:p>
    <w:p>
      <w:pPr>
        <w:jc w:val="center"/>
        <w:ind w:right="-1120"/>
        <w:spacing w:after="0" w:line="197" w:lineRule="auto"/>
        <w:rPr>
          <w:sz w:val="20"/>
          <w:szCs w:val="20"/>
          <w:color w:val="auto"/>
        </w:rPr>
      </w:pPr>
      <w:r>
        <w:rPr>
          <w:rFonts w:ascii="Arial" w:cs="Arial" w:eastAsia="Arial" w:hAnsi="Arial"/>
          <w:sz w:val="20"/>
          <w:szCs w:val="20"/>
          <w:color w:val="auto"/>
        </w:rPr>
        <w:t>dated as of the date first above written,</w:t>
      </w:r>
    </w:p>
    <w:p>
      <w:pPr>
        <w:jc w:val="center"/>
        <w:ind w:right="-1120"/>
        <w:spacing w:after="0" w:line="197" w:lineRule="auto"/>
        <w:rPr>
          <w:sz w:val="20"/>
          <w:szCs w:val="20"/>
          <w:color w:val="auto"/>
        </w:rPr>
      </w:pPr>
      <w:r>
        <w:rPr>
          <w:rFonts w:ascii="Arial" w:cs="Arial" w:eastAsia="Arial" w:hAnsi="Arial"/>
          <w:sz w:val="20"/>
          <w:szCs w:val="20"/>
          <w:color w:val="auto"/>
        </w:rPr>
        <w:t>among The Cooper Companies, Inc. and CooperVision International Limited,</w:t>
      </w:r>
    </w:p>
    <w:p>
      <w:pPr>
        <w:jc w:val="center"/>
        <w:ind w:right="-1120"/>
        <w:spacing w:after="0" w:line="197" w:lineRule="auto"/>
        <w:rPr>
          <w:sz w:val="20"/>
          <w:szCs w:val="20"/>
          <w:color w:val="auto"/>
        </w:rPr>
      </w:pPr>
      <w:r>
        <w:rPr>
          <w:rFonts w:ascii="Arial" w:cs="Arial" w:eastAsia="Arial" w:hAnsi="Arial"/>
          <w:sz w:val="20"/>
          <w:szCs w:val="20"/>
          <w:color w:val="auto"/>
        </w:rPr>
        <w:t>as Existing Borrowers,</w:t>
      </w:r>
    </w:p>
    <w:p>
      <w:pPr>
        <w:jc w:val="center"/>
        <w:ind w:right="-1120"/>
        <w:spacing w:after="0" w:line="198" w:lineRule="auto"/>
        <w:rPr>
          <w:sz w:val="20"/>
          <w:szCs w:val="20"/>
          <w:color w:val="auto"/>
        </w:rPr>
      </w:pPr>
      <w:r>
        <w:rPr>
          <w:rFonts w:ascii="Arial" w:cs="Arial" w:eastAsia="Arial" w:hAnsi="Arial"/>
          <w:sz w:val="20"/>
          <w:szCs w:val="20"/>
          <w:color w:val="auto"/>
        </w:rPr>
        <w:t>CooperVision Holding Kft.,</w:t>
      </w:r>
    </w:p>
    <w:p>
      <w:pPr>
        <w:jc w:val="center"/>
        <w:ind w:right="-1120"/>
        <w:spacing w:after="0" w:line="197" w:lineRule="auto"/>
        <w:rPr>
          <w:sz w:val="20"/>
          <w:szCs w:val="20"/>
          <w:color w:val="auto"/>
        </w:rPr>
      </w:pPr>
      <w:r>
        <w:rPr>
          <w:rFonts w:ascii="Arial" w:cs="Arial" w:eastAsia="Arial" w:hAnsi="Arial"/>
          <w:sz w:val="20"/>
          <w:szCs w:val="20"/>
          <w:color w:val="auto"/>
        </w:rPr>
        <w:t>as an Existing Borrower and as the Released Borrower,</w:t>
      </w:r>
    </w:p>
    <w:p>
      <w:pPr>
        <w:jc w:val="center"/>
        <w:ind w:right="-1120"/>
        <w:spacing w:after="0" w:line="197" w:lineRule="auto"/>
        <w:rPr>
          <w:sz w:val="20"/>
          <w:szCs w:val="20"/>
          <w:color w:val="auto"/>
        </w:rPr>
      </w:pPr>
      <w:r>
        <w:rPr>
          <w:rFonts w:ascii="Arial" w:cs="Arial" w:eastAsia="Arial" w:hAnsi="Arial"/>
          <w:sz w:val="20"/>
          <w:szCs w:val="20"/>
          <w:color w:val="auto"/>
        </w:rPr>
        <w:t>CooperSurgical Holdings Limited,</w:t>
      </w:r>
    </w:p>
    <w:p>
      <w:pPr>
        <w:jc w:val="center"/>
        <w:ind w:right="-1120"/>
        <w:spacing w:after="0" w:line="197" w:lineRule="auto"/>
        <w:rPr>
          <w:sz w:val="20"/>
          <w:szCs w:val="20"/>
          <w:color w:val="auto"/>
        </w:rPr>
      </w:pPr>
      <w:r>
        <w:rPr>
          <w:rFonts w:ascii="Arial" w:cs="Arial" w:eastAsia="Arial" w:hAnsi="Arial"/>
          <w:sz w:val="20"/>
          <w:szCs w:val="20"/>
          <w:color w:val="auto"/>
        </w:rPr>
        <w:t>as an Additional Revolving Borrower,</w:t>
      </w:r>
    </w:p>
    <w:p>
      <w:pPr>
        <w:jc w:val="center"/>
        <w:ind w:right="-1120"/>
        <w:spacing w:after="0" w:line="198" w:lineRule="auto"/>
        <w:rPr>
          <w:sz w:val="20"/>
          <w:szCs w:val="20"/>
          <w:color w:val="auto"/>
        </w:rPr>
      </w:pPr>
      <w:r>
        <w:rPr>
          <w:rFonts w:ascii="Arial" w:cs="Arial" w:eastAsia="Arial" w:hAnsi="Arial"/>
          <w:sz w:val="20"/>
          <w:szCs w:val="20"/>
          <w:color w:val="auto"/>
        </w:rPr>
        <w:t>KeyBank National Association, as the Administrative Agent,</w:t>
      </w:r>
    </w:p>
    <w:p>
      <w:pPr>
        <w:jc w:val="center"/>
        <w:ind w:right="-112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83" w:lineRule="exact"/>
        <w:rPr>
          <w:sz w:val="20"/>
          <w:szCs w:val="20"/>
          <w:color w:val="auto"/>
        </w:rPr>
      </w:pPr>
    </w:p>
    <w:p>
      <w:pPr>
        <w:jc w:val="right"/>
        <w:ind w:right="519"/>
        <w:spacing w:after="0"/>
        <w:rPr>
          <w:sz w:val="20"/>
          <w:szCs w:val="20"/>
          <w:color w:val="auto"/>
        </w:rPr>
      </w:pPr>
      <w:r>
        <w:rPr>
          <w:rFonts w:ascii="Arial" w:cs="Arial" w:eastAsia="Arial" w:hAnsi="Arial"/>
          <w:sz w:val="20"/>
          <w:szCs w:val="20"/>
          <w:color w:val="auto"/>
        </w:rPr>
        <w:t>Name of Institution:  WELLS FARGO BANK, NATIONAL ASSOCIATION</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Andrea Chen</w:t>
      </w:r>
    </w:p>
    <w:p>
      <w:pPr>
        <w:ind w:left="5400"/>
        <w:spacing w:after="0" w:line="197" w:lineRule="auto"/>
        <w:rPr>
          <w:sz w:val="20"/>
          <w:szCs w:val="20"/>
          <w:color w:val="auto"/>
        </w:rPr>
      </w:pPr>
      <w:r>
        <w:rPr>
          <w:rFonts w:ascii="Arial" w:cs="Arial" w:eastAsia="Arial" w:hAnsi="Arial"/>
          <w:sz w:val="20"/>
          <w:szCs w:val="20"/>
          <w:color w:val="auto"/>
        </w:rPr>
        <w:t>Name: Andrea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9423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[Signtaure Page – Amendment No. 2 and Joinder]</w:t>
      </w:r>
    </w:p>
    <w:p>
      <w:pPr>
        <w:spacing w:after="0"/>
        <w:rPr>
          <w:sz w:val="20"/>
          <w:szCs w:val="20"/>
          <w:color w:val="auto"/>
        </w:rPr>
      </w:pPr>
      <w:r>
        <w:rPr>
          <w:rFonts w:ascii="Arial" w:cs="Arial" w:eastAsia="Arial" w:hAnsi="Arial"/>
          <w:sz w:val="14"/>
          <w:szCs w:val="14"/>
          <w:color w:val="auto"/>
        </w:rPr>
        <w:t>NAI-1523243933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Internal</w:t>
      </w:r>
    </w:p>
    <w:p>
      <w:pPr>
        <w:sectPr>
          <w:pgSz w:w="11900" w:h="16838" w:orient="portrait"/>
          <w:cols w:equalWidth="0" w:num="1">
            <w:col w:w="10139"/>
          </w:cols>
          <w:pgMar w:left="320" w:top="1440" w:right="1440" w:bottom="1440" w:gutter="0" w:footer="0" w:header="0"/>
        </w:sectPr>
      </w:pPr>
    </w:p>
    <w:bookmarkStart w:id="62" w:name="page63"/>
    <w:bookmarkEnd w:id="62"/>
    <w:p>
      <w:pPr>
        <w:jc w:val="center"/>
        <w:ind w:right="-1100"/>
        <w:spacing w:after="0"/>
        <w:rPr>
          <w:sz w:val="20"/>
          <w:szCs w:val="20"/>
          <w:color w:val="auto"/>
        </w:rPr>
      </w:pPr>
      <w:r>
        <w:rPr>
          <w:rFonts w:ascii="Arial" w:cs="Arial" w:eastAsia="Arial" w:hAnsi="Arial"/>
          <w:sz w:val="20"/>
          <w:szCs w:val="20"/>
          <w:color w:val="auto"/>
        </w:rPr>
        <w:t>Signature Page to</w:t>
      </w:r>
    </w:p>
    <w:p>
      <w:pPr>
        <w:jc w:val="center"/>
        <w:ind w:right="-1100"/>
        <w:spacing w:after="0" w:line="219" w:lineRule="auto"/>
        <w:rPr>
          <w:sz w:val="20"/>
          <w:szCs w:val="20"/>
          <w:color w:val="auto"/>
        </w:rPr>
      </w:pPr>
      <w:r>
        <w:rPr>
          <w:rFonts w:ascii="Arial" w:cs="Arial" w:eastAsia="Arial" w:hAnsi="Arial"/>
          <w:sz w:val="18"/>
          <w:szCs w:val="18"/>
          <w:color w:val="auto"/>
        </w:rPr>
        <w:t>Amendment No. 2 and Joinder to Revolving Credit and Term Loan Agreement,</w:t>
      </w:r>
    </w:p>
    <w:p>
      <w:pPr>
        <w:jc w:val="center"/>
        <w:ind w:right="-1100"/>
        <w:spacing w:after="0" w:line="197" w:lineRule="auto"/>
        <w:rPr>
          <w:sz w:val="20"/>
          <w:szCs w:val="20"/>
          <w:color w:val="auto"/>
        </w:rPr>
      </w:pPr>
      <w:r>
        <w:rPr>
          <w:rFonts w:ascii="Arial" w:cs="Arial" w:eastAsia="Arial" w:hAnsi="Arial"/>
          <w:sz w:val="20"/>
          <w:szCs w:val="20"/>
          <w:color w:val="auto"/>
        </w:rPr>
        <w:t>dated as of the date first above written,</w:t>
      </w:r>
    </w:p>
    <w:p>
      <w:pPr>
        <w:jc w:val="center"/>
        <w:ind w:right="-1100"/>
        <w:spacing w:after="0" w:line="219" w:lineRule="auto"/>
        <w:rPr>
          <w:sz w:val="20"/>
          <w:szCs w:val="20"/>
          <w:color w:val="auto"/>
        </w:rPr>
      </w:pPr>
      <w:r>
        <w:rPr>
          <w:rFonts w:ascii="Arial" w:cs="Arial" w:eastAsia="Arial" w:hAnsi="Arial"/>
          <w:sz w:val="18"/>
          <w:szCs w:val="18"/>
          <w:color w:val="auto"/>
        </w:rPr>
        <w:t>among The Cooper Companies, Inc. and CooperVision International Limited,</w:t>
      </w:r>
    </w:p>
    <w:p>
      <w:pPr>
        <w:jc w:val="center"/>
        <w:ind w:right="-1100"/>
        <w:spacing w:after="0" w:line="197" w:lineRule="auto"/>
        <w:rPr>
          <w:sz w:val="20"/>
          <w:szCs w:val="20"/>
          <w:color w:val="auto"/>
        </w:rPr>
      </w:pPr>
      <w:r>
        <w:rPr>
          <w:rFonts w:ascii="Arial" w:cs="Arial" w:eastAsia="Arial" w:hAnsi="Arial"/>
          <w:sz w:val="20"/>
          <w:szCs w:val="20"/>
          <w:color w:val="auto"/>
        </w:rPr>
        <w:t>as Existing Borrowers,</w:t>
      </w:r>
    </w:p>
    <w:p>
      <w:pPr>
        <w:jc w:val="center"/>
        <w:ind w:right="-1100"/>
        <w:spacing w:after="0" w:line="197" w:lineRule="auto"/>
        <w:rPr>
          <w:sz w:val="20"/>
          <w:szCs w:val="20"/>
          <w:color w:val="auto"/>
        </w:rPr>
      </w:pPr>
      <w:r>
        <w:rPr>
          <w:rFonts w:ascii="Arial" w:cs="Arial" w:eastAsia="Arial" w:hAnsi="Arial"/>
          <w:sz w:val="20"/>
          <w:szCs w:val="20"/>
          <w:color w:val="auto"/>
        </w:rPr>
        <w:t>CooperVision Holding Kft.,</w:t>
      </w:r>
    </w:p>
    <w:p>
      <w:pPr>
        <w:jc w:val="center"/>
        <w:ind w:right="-1100"/>
        <w:spacing w:after="0" w:line="198" w:lineRule="auto"/>
        <w:rPr>
          <w:sz w:val="20"/>
          <w:szCs w:val="20"/>
          <w:color w:val="auto"/>
        </w:rPr>
      </w:pPr>
      <w:r>
        <w:rPr>
          <w:rFonts w:ascii="Arial" w:cs="Arial" w:eastAsia="Arial" w:hAnsi="Arial"/>
          <w:sz w:val="20"/>
          <w:szCs w:val="20"/>
          <w:color w:val="auto"/>
        </w:rPr>
        <w:t>as an Existing Borrower and as the Released Borrower,</w:t>
      </w:r>
    </w:p>
    <w:p>
      <w:pPr>
        <w:jc w:val="center"/>
        <w:ind w:right="-1100"/>
        <w:spacing w:after="0" w:line="197" w:lineRule="auto"/>
        <w:rPr>
          <w:sz w:val="20"/>
          <w:szCs w:val="20"/>
          <w:color w:val="auto"/>
        </w:rPr>
      </w:pPr>
      <w:r>
        <w:rPr>
          <w:rFonts w:ascii="Arial" w:cs="Arial" w:eastAsia="Arial" w:hAnsi="Arial"/>
          <w:sz w:val="20"/>
          <w:szCs w:val="20"/>
          <w:color w:val="auto"/>
        </w:rPr>
        <w:t>CooperSurgical Holdings Limited,</w:t>
      </w:r>
    </w:p>
    <w:p>
      <w:pPr>
        <w:jc w:val="center"/>
        <w:ind w:right="-1100"/>
        <w:spacing w:after="0" w:line="197" w:lineRule="auto"/>
        <w:rPr>
          <w:sz w:val="20"/>
          <w:szCs w:val="20"/>
          <w:color w:val="auto"/>
        </w:rPr>
      </w:pPr>
      <w:r>
        <w:rPr>
          <w:rFonts w:ascii="Arial" w:cs="Arial" w:eastAsia="Arial" w:hAnsi="Arial"/>
          <w:sz w:val="20"/>
          <w:szCs w:val="20"/>
          <w:color w:val="auto"/>
        </w:rPr>
        <w:t>as an Additional Revolving Borrower,</w:t>
      </w:r>
    </w:p>
    <w:p>
      <w:pPr>
        <w:jc w:val="center"/>
        <w:ind w:right="-1100"/>
        <w:spacing w:after="0" w:line="197" w:lineRule="auto"/>
        <w:rPr>
          <w:sz w:val="20"/>
          <w:szCs w:val="20"/>
          <w:color w:val="auto"/>
        </w:rPr>
      </w:pPr>
      <w:r>
        <w:rPr>
          <w:rFonts w:ascii="Arial" w:cs="Arial" w:eastAsia="Arial" w:hAnsi="Arial"/>
          <w:sz w:val="20"/>
          <w:szCs w:val="20"/>
          <w:color w:val="auto"/>
        </w:rPr>
        <w:t>KeyBank National Association, as the Administrative Agent,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Name of Institution:  CITIBANK, N.A.</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Pranjal Gambhir</w:t>
      </w:r>
    </w:p>
    <w:p>
      <w:pPr>
        <w:ind w:left="5400"/>
        <w:spacing w:after="0" w:line="197" w:lineRule="auto"/>
        <w:rPr>
          <w:sz w:val="20"/>
          <w:szCs w:val="20"/>
          <w:color w:val="auto"/>
        </w:rPr>
      </w:pPr>
      <w:r>
        <w:rPr>
          <w:rFonts w:ascii="Arial" w:cs="Arial" w:eastAsia="Arial" w:hAnsi="Arial"/>
          <w:sz w:val="20"/>
          <w:szCs w:val="20"/>
          <w:color w:val="auto"/>
        </w:rPr>
        <w:t>Name: Pranjal Gambhir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11093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[Signtaure Page – Amendment No. 2 and Joinder]</w:t>
      </w:r>
    </w:p>
    <w:p>
      <w:pPr>
        <w:spacing w:after="0"/>
        <w:rPr>
          <w:sz w:val="20"/>
          <w:szCs w:val="20"/>
          <w:color w:val="auto"/>
        </w:rPr>
      </w:pPr>
      <w:r>
        <w:rPr>
          <w:rFonts w:ascii="Arial" w:cs="Arial" w:eastAsia="Arial" w:hAnsi="Arial"/>
          <w:sz w:val="14"/>
          <w:szCs w:val="14"/>
          <w:color w:val="auto"/>
        </w:rPr>
        <w:t>NAI-1523243933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Internal</w:t>
      </w:r>
    </w:p>
    <w:p>
      <w:pPr>
        <w:sectPr>
          <w:pgSz w:w="11900" w:h="16838" w:orient="portrait"/>
          <w:cols w:equalWidth="0" w:num="1">
            <w:col w:w="10139"/>
          </w:cols>
          <w:pgMar w:left="320" w:top="1380" w:right="1440" w:bottom="1440" w:gutter="0" w:footer="0" w:header="0"/>
        </w:sectPr>
      </w:pPr>
    </w:p>
    <w:bookmarkStart w:id="63" w:name="page64"/>
    <w:bookmarkEnd w:id="63"/>
    <w:p>
      <w:pPr>
        <w:ind w:left="4860"/>
        <w:spacing w:after="0"/>
        <w:rPr>
          <w:sz w:val="20"/>
          <w:szCs w:val="20"/>
          <w:color w:val="auto"/>
        </w:rPr>
      </w:pPr>
      <w:r>
        <w:rPr>
          <w:rFonts w:ascii="Arial" w:cs="Arial" w:eastAsia="Arial" w:hAnsi="Arial"/>
          <w:sz w:val="18"/>
          <w:szCs w:val="18"/>
          <w:color w:val="auto"/>
        </w:rPr>
        <w:t>Strictly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Signature Page to</w:t>
      </w:r>
    </w:p>
    <w:p>
      <w:pPr>
        <w:jc w:val="center"/>
        <w:ind w:right="-1100"/>
        <w:spacing w:after="0" w:line="219" w:lineRule="auto"/>
        <w:rPr>
          <w:sz w:val="20"/>
          <w:szCs w:val="20"/>
          <w:color w:val="auto"/>
        </w:rPr>
      </w:pPr>
      <w:r>
        <w:rPr>
          <w:rFonts w:ascii="Arial" w:cs="Arial" w:eastAsia="Arial" w:hAnsi="Arial"/>
          <w:sz w:val="18"/>
          <w:szCs w:val="18"/>
          <w:color w:val="auto"/>
        </w:rPr>
        <w:t>Amendment No. 2 and Joinder to Revolving Credit and Term Loan Agreement,</w:t>
      </w:r>
    </w:p>
    <w:p>
      <w:pPr>
        <w:jc w:val="center"/>
        <w:ind w:right="-1100"/>
        <w:spacing w:after="0" w:line="197" w:lineRule="auto"/>
        <w:rPr>
          <w:sz w:val="20"/>
          <w:szCs w:val="20"/>
          <w:color w:val="auto"/>
        </w:rPr>
      </w:pPr>
      <w:r>
        <w:rPr>
          <w:rFonts w:ascii="Arial" w:cs="Arial" w:eastAsia="Arial" w:hAnsi="Arial"/>
          <w:sz w:val="20"/>
          <w:szCs w:val="20"/>
          <w:color w:val="auto"/>
        </w:rPr>
        <w:t>dated as of the date first above written,</w:t>
      </w:r>
    </w:p>
    <w:p>
      <w:pPr>
        <w:jc w:val="center"/>
        <w:ind w:right="-1100"/>
        <w:spacing w:after="0" w:line="219" w:lineRule="auto"/>
        <w:rPr>
          <w:sz w:val="20"/>
          <w:szCs w:val="20"/>
          <w:color w:val="auto"/>
        </w:rPr>
      </w:pPr>
      <w:r>
        <w:rPr>
          <w:rFonts w:ascii="Arial" w:cs="Arial" w:eastAsia="Arial" w:hAnsi="Arial"/>
          <w:sz w:val="18"/>
          <w:szCs w:val="18"/>
          <w:color w:val="auto"/>
        </w:rPr>
        <w:t>among The Cooper Companies, Inc. and CooperVision International Limited,</w:t>
      </w:r>
    </w:p>
    <w:p>
      <w:pPr>
        <w:jc w:val="center"/>
        <w:ind w:right="-1100"/>
        <w:spacing w:after="0" w:line="197" w:lineRule="auto"/>
        <w:rPr>
          <w:sz w:val="20"/>
          <w:szCs w:val="20"/>
          <w:color w:val="auto"/>
        </w:rPr>
      </w:pPr>
      <w:r>
        <w:rPr>
          <w:rFonts w:ascii="Arial" w:cs="Arial" w:eastAsia="Arial" w:hAnsi="Arial"/>
          <w:sz w:val="20"/>
          <w:szCs w:val="20"/>
          <w:color w:val="auto"/>
        </w:rPr>
        <w:t>as Existing Borrowers,</w:t>
      </w:r>
    </w:p>
    <w:p>
      <w:pPr>
        <w:jc w:val="center"/>
        <w:ind w:right="-1100"/>
        <w:spacing w:after="0" w:line="197" w:lineRule="auto"/>
        <w:rPr>
          <w:sz w:val="20"/>
          <w:szCs w:val="20"/>
          <w:color w:val="auto"/>
        </w:rPr>
      </w:pPr>
      <w:r>
        <w:rPr>
          <w:rFonts w:ascii="Arial" w:cs="Arial" w:eastAsia="Arial" w:hAnsi="Arial"/>
          <w:sz w:val="20"/>
          <w:szCs w:val="20"/>
          <w:color w:val="auto"/>
        </w:rPr>
        <w:t>CooperVision Holding Kft.,</w:t>
      </w:r>
    </w:p>
    <w:p>
      <w:pPr>
        <w:jc w:val="center"/>
        <w:ind w:right="-1100"/>
        <w:spacing w:after="0" w:line="198" w:lineRule="auto"/>
        <w:rPr>
          <w:sz w:val="20"/>
          <w:szCs w:val="20"/>
          <w:color w:val="auto"/>
        </w:rPr>
      </w:pPr>
      <w:r>
        <w:rPr>
          <w:rFonts w:ascii="Arial" w:cs="Arial" w:eastAsia="Arial" w:hAnsi="Arial"/>
          <w:sz w:val="20"/>
          <w:szCs w:val="20"/>
          <w:color w:val="auto"/>
        </w:rPr>
        <w:t>as an Existing Borrower and as the Released Borrower,</w:t>
      </w:r>
    </w:p>
    <w:p>
      <w:pPr>
        <w:jc w:val="center"/>
        <w:ind w:right="-1100"/>
        <w:spacing w:after="0" w:line="197" w:lineRule="auto"/>
        <w:rPr>
          <w:sz w:val="20"/>
          <w:szCs w:val="20"/>
          <w:color w:val="auto"/>
        </w:rPr>
      </w:pPr>
      <w:r>
        <w:rPr>
          <w:rFonts w:ascii="Arial" w:cs="Arial" w:eastAsia="Arial" w:hAnsi="Arial"/>
          <w:sz w:val="20"/>
          <w:szCs w:val="20"/>
          <w:color w:val="auto"/>
        </w:rPr>
        <w:t>CooperSurgical Holdings Limited,</w:t>
      </w:r>
    </w:p>
    <w:p>
      <w:pPr>
        <w:jc w:val="center"/>
        <w:ind w:right="-1100"/>
        <w:spacing w:after="0" w:line="197" w:lineRule="auto"/>
        <w:rPr>
          <w:sz w:val="20"/>
          <w:szCs w:val="20"/>
          <w:color w:val="auto"/>
        </w:rPr>
      </w:pPr>
      <w:r>
        <w:rPr>
          <w:rFonts w:ascii="Arial" w:cs="Arial" w:eastAsia="Arial" w:hAnsi="Arial"/>
          <w:sz w:val="20"/>
          <w:szCs w:val="20"/>
          <w:color w:val="auto"/>
        </w:rPr>
        <w:t>as an Additional Revolving Borrower,</w:t>
      </w:r>
    </w:p>
    <w:p>
      <w:pPr>
        <w:jc w:val="center"/>
        <w:ind w:right="-1100"/>
        <w:spacing w:after="0" w:line="197" w:lineRule="auto"/>
        <w:rPr>
          <w:sz w:val="20"/>
          <w:szCs w:val="20"/>
          <w:color w:val="auto"/>
        </w:rPr>
      </w:pPr>
      <w:r>
        <w:rPr>
          <w:rFonts w:ascii="Arial" w:cs="Arial" w:eastAsia="Arial" w:hAnsi="Arial"/>
          <w:sz w:val="20"/>
          <w:szCs w:val="20"/>
          <w:color w:val="auto"/>
        </w:rPr>
        <w:t>KeyBank National Association, as the Administrative Agent,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Name of Institution:  KBC Bank N.V., New York Branch</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Deborah Carlson</w:t>
      </w:r>
    </w:p>
    <w:p>
      <w:pPr>
        <w:ind w:left="5400"/>
        <w:spacing w:after="0" w:line="197" w:lineRule="auto"/>
        <w:rPr>
          <w:sz w:val="20"/>
          <w:szCs w:val="20"/>
          <w:color w:val="auto"/>
        </w:rPr>
      </w:pPr>
      <w:r>
        <w:rPr>
          <w:rFonts w:ascii="Arial" w:cs="Arial" w:eastAsia="Arial" w:hAnsi="Arial"/>
          <w:sz w:val="20"/>
          <w:szCs w:val="20"/>
          <w:color w:val="auto"/>
        </w:rPr>
        <w:t>Name: Deborah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1130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Director</w:t>
      </w:r>
    </w:p>
    <w:p>
      <w:pPr>
        <w:spacing w:after="0" w:line="16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Robbie Claes</w:t>
      </w:r>
    </w:p>
    <w:p>
      <w:pPr>
        <w:ind w:left="5400"/>
        <w:spacing w:after="0" w:line="197" w:lineRule="auto"/>
        <w:rPr>
          <w:sz w:val="20"/>
          <w:szCs w:val="20"/>
          <w:color w:val="auto"/>
        </w:rPr>
      </w:pPr>
      <w:r>
        <w:rPr>
          <w:rFonts w:ascii="Arial" w:cs="Arial" w:eastAsia="Arial" w:hAnsi="Arial"/>
          <w:sz w:val="20"/>
          <w:szCs w:val="20"/>
          <w:color w:val="auto"/>
        </w:rPr>
        <w:t>Name: Robbie Claes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949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[Signtaure Page – Amendment No. 2 and Joinder]</w:t>
      </w:r>
    </w:p>
    <w:p>
      <w:pPr>
        <w:spacing w:after="0"/>
        <w:rPr>
          <w:sz w:val="20"/>
          <w:szCs w:val="20"/>
          <w:color w:val="auto"/>
        </w:rPr>
      </w:pPr>
      <w:r>
        <w:rPr>
          <w:rFonts w:ascii="Arial" w:cs="Arial" w:eastAsia="Arial" w:hAnsi="Arial"/>
          <w:sz w:val="14"/>
          <w:szCs w:val="14"/>
          <w:color w:val="auto"/>
        </w:rPr>
        <w:t>NAI-1523243933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Internal</w:t>
      </w:r>
    </w:p>
    <w:p>
      <w:pPr>
        <w:sectPr>
          <w:pgSz w:w="11900" w:h="16838" w:orient="portrait"/>
          <w:cols w:equalWidth="0" w:num="1">
            <w:col w:w="10139"/>
          </w:cols>
          <w:pgMar w:left="320" w:top="126" w:right="1440" w:bottom="1440" w:gutter="0" w:footer="0" w:header="0"/>
        </w:sectPr>
      </w:pPr>
    </w:p>
    <w:bookmarkStart w:id="64" w:name="page65"/>
    <w:bookmarkEnd w:id="64"/>
    <w:p>
      <w:pPr>
        <w:ind w:left="4860"/>
        <w:spacing w:after="0"/>
        <w:rPr>
          <w:sz w:val="20"/>
          <w:szCs w:val="20"/>
          <w:color w:val="auto"/>
        </w:rPr>
      </w:pPr>
      <w:r>
        <w:rPr>
          <w:rFonts w:ascii="Arial" w:cs="Arial" w:eastAsia="Arial" w:hAnsi="Arial"/>
          <w:sz w:val="18"/>
          <w:szCs w:val="18"/>
          <w:color w:val="auto"/>
        </w:rPr>
        <w:t>Strictly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Signature Page to</w:t>
      </w:r>
    </w:p>
    <w:p>
      <w:pPr>
        <w:jc w:val="center"/>
        <w:ind w:right="-1100"/>
        <w:spacing w:after="0" w:line="219" w:lineRule="auto"/>
        <w:rPr>
          <w:sz w:val="20"/>
          <w:szCs w:val="20"/>
          <w:color w:val="auto"/>
        </w:rPr>
      </w:pPr>
      <w:r>
        <w:rPr>
          <w:rFonts w:ascii="Arial" w:cs="Arial" w:eastAsia="Arial" w:hAnsi="Arial"/>
          <w:sz w:val="18"/>
          <w:szCs w:val="18"/>
          <w:color w:val="auto"/>
        </w:rPr>
        <w:t>Amendment No. 2 and Joinder to Revolving Credit and Term Loan Agreement,</w:t>
      </w:r>
    </w:p>
    <w:p>
      <w:pPr>
        <w:jc w:val="center"/>
        <w:ind w:right="-1100"/>
        <w:spacing w:after="0" w:line="197" w:lineRule="auto"/>
        <w:rPr>
          <w:sz w:val="20"/>
          <w:szCs w:val="20"/>
          <w:color w:val="auto"/>
        </w:rPr>
      </w:pPr>
      <w:r>
        <w:rPr>
          <w:rFonts w:ascii="Arial" w:cs="Arial" w:eastAsia="Arial" w:hAnsi="Arial"/>
          <w:sz w:val="20"/>
          <w:szCs w:val="20"/>
          <w:color w:val="auto"/>
        </w:rPr>
        <w:t>dated as of the date first above written,</w:t>
      </w:r>
    </w:p>
    <w:p>
      <w:pPr>
        <w:jc w:val="center"/>
        <w:ind w:right="-1100"/>
        <w:spacing w:after="0" w:line="219" w:lineRule="auto"/>
        <w:rPr>
          <w:sz w:val="20"/>
          <w:szCs w:val="20"/>
          <w:color w:val="auto"/>
        </w:rPr>
      </w:pPr>
      <w:r>
        <w:rPr>
          <w:rFonts w:ascii="Arial" w:cs="Arial" w:eastAsia="Arial" w:hAnsi="Arial"/>
          <w:sz w:val="18"/>
          <w:szCs w:val="18"/>
          <w:color w:val="auto"/>
        </w:rPr>
        <w:t>among The Cooper Companies, Inc. and CooperVision International Limited,</w:t>
      </w:r>
    </w:p>
    <w:p>
      <w:pPr>
        <w:jc w:val="center"/>
        <w:ind w:right="-1100"/>
        <w:spacing w:after="0" w:line="197" w:lineRule="auto"/>
        <w:rPr>
          <w:sz w:val="20"/>
          <w:szCs w:val="20"/>
          <w:color w:val="auto"/>
        </w:rPr>
      </w:pPr>
      <w:r>
        <w:rPr>
          <w:rFonts w:ascii="Arial" w:cs="Arial" w:eastAsia="Arial" w:hAnsi="Arial"/>
          <w:sz w:val="20"/>
          <w:szCs w:val="20"/>
          <w:color w:val="auto"/>
        </w:rPr>
        <w:t>as Existing Borrowers,</w:t>
      </w:r>
    </w:p>
    <w:p>
      <w:pPr>
        <w:jc w:val="center"/>
        <w:ind w:right="-1100"/>
        <w:spacing w:after="0" w:line="197" w:lineRule="auto"/>
        <w:rPr>
          <w:sz w:val="20"/>
          <w:szCs w:val="20"/>
          <w:color w:val="auto"/>
        </w:rPr>
      </w:pPr>
      <w:r>
        <w:rPr>
          <w:rFonts w:ascii="Arial" w:cs="Arial" w:eastAsia="Arial" w:hAnsi="Arial"/>
          <w:sz w:val="20"/>
          <w:szCs w:val="20"/>
          <w:color w:val="auto"/>
        </w:rPr>
        <w:t>CooperVision Holding Kft.,</w:t>
      </w:r>
    </w:p>
    <w:p>
      <w:pPr>
        <w:jc w:val="center"/>
        <w:ind w:right="-1100"/>
        <w:spacing w:after="0" w:line="198" w:lineRule="auto"/>
        <w:rPr>
          <w:sz w:val="20"/>
          <w:szCs w:val="20"/>
          <w:color w:val="auto"/>
        </w:rPr>
      </w:pPr>
      <w:r>
        <w:rPr>
          <w:rFonts w:ascii="Arial" w:cs="Arial" w:eastAsia="Arial" w:hAnsi="Arial"/>
          <w:sz w:val="20"/>
          <w:szCs w:val="20"/>
          <w:color w:val="auto"/>
        </w:rPr>
        <w:t>as an Existing Borrower and as the Released Borrower,</w:t>
      </w:r>
    </w:p>
    <w:p>
      <w:pPr>
        <w:jc w:val="center"/>
        <w:ind w:right="-1100"/>
        <w:spacing w:after="0" w:line="197" w:lineRule="auto"/>
        <w:rPr>
          <w:sz w:val="20"/>
          <w:szCs w:val="20"/>
          <w:color w:val="auto"/>
        </w:rPr>
      </w:pPr>
      <w:r>
        <w:rPr>
          <w:rFonts w:ascii="Arial" w:cs="Arial" w:eastAsia="Arial" w:hAnsi="Arial"/>
          <w:sz w:val="20"/>
          <w:szCs w:val="20"/>
          <w:color w:val="auto"/>
        </w:rPr>
        <w:t>CooperSurgical Holdings Limited,</w:t>
      </w:r>
    </w:p>
    <w:p>
      <w:pPr>
        <w:jc w:val="center"/>
        <w:ind w:right="-1100"/>
        <w:spacing w:after="0" w:line="197" w:lineRule="auto"/>
        <w:rPr>
          <w:sz w:val="20"/>
          <w:szCs w:val="20"/>
          <w:color w:val="auto"/>
        </w:rPr>
      </w:pPr>
      <w:r>
        <w:rPr>
          <w:rFonts w:ascii="Arial" w:cs="Arial" w:eastAsia="Arial" w:hAnsi="Arial"/>
          <w:sz w:val="20"/>
          <w:szCs w:val="20"/>
          <w:color w:val="auto"/>
        </w:rPr>
        <w:t>as an Additional Revolving Borrower,</w:t>
      </w:r>
    </w:p>
    <w:p>
      <w:pPr>
        <w:jc w:val="center"/>
        <w:ind w:right="-1100"/>
        <w:spacing w:after="0" w:line="197" w:lineRule="auto"/>
        <w:rPr>
          <w:sz w:val="20"/>
          <w:szCs w:val="20"/>
          <w:color w:val="auto"/>
        </w:rPr>
      </w:pPr>
      <w:r>
        <w:rPr>
          <w:rFonts w:ascii="Arial" w:cs="Arial" w:eastAsia="Arial" w:hAnsi="Arial"/>
          <w:sz w:val="20"/>
          <w:szCs w:val="20"/>
          <w:color w:val="auto"/>
        </w:rPr>
        <w:t>KeyBank National Association, as the Administrative Agent,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 the Lenders party thereto</w:t>
      </w:r>
    </w:p>
    <w:p>
      <w:pPr>
        <w:spacing w:after="0" w:line="200" w:lineRule="exact"/>
        <w:rPr>
          <w:sz w:val="20"/>
          <w:szCs w:val="20"/>
          <w:color w:val="auto"/>
        </w:rPr>
      </w:pPr>
    </w:p>
    <w:p>
      <w:pPr>
        <w:spacing w:after="0" w:line="283"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Name of Institution:  DNB CAPITAL LLC</w:t>
      </w: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Kristie Li</w:t>
      </w:r>
    </w:p>
    <w:p>
      <w:pPr>
        <w:ind w:left="5400"/>
        <w:spacing w:after="0" w:line="197" w:lineRule="auto"/>
        <w:rPr>
          <w:sz w:val="20"/>
          <w:szCs w:val="20"/>
          <w:color w:val="auto"/>
        </w:rPr>
      </w:pPr>
      <w:r>
        <w:rPr>
          <w:rFonts w:ascii="Arial" w:cs="Arial" w:eastAsia="Arial" w:hAnsi="Arial"/>
          <w:sz w:val="20"/>
          <w:szCs w:val="20"/>
          <w:color w:val="auto"/>
        </w:rPr>
        <w:t>Name: Kristie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-118745</wp:posOffset>
            </wp:positionV>
            <wp:extent cx="7607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Title: Senior Vice President</w:t>
      </w:r>
    </w:p>
    <w:p>
      <w:pPr>
        <w:spacing w:after="0" w:line="16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/s/ Devan Patel</w:t>
      </w:r>
    </w:p>
    <w:p>
      <w:pPr>
        <w:ind w:left="5400"/>
        <w:spacing w:after="0" w:line="197" w:lineRule="auto"/>
        <w:rPr>
          <w:sz w:val="20"/>
          <w:szCs w:val="20"/>
          <w:color w:val="auto"/>
        </w:rPr>
      </w:pPr>
      <w:r>
        <w:rPr>
          <w:rFonts w:ascii="Arial" w:cs="Arial" w:eastAsia="Arial" w:hAnsi="Arial"/>
          <w:sz w:val="20"/>
          <w:szCs w:val="20"/>
          <w:color w:val="auto"/>
        </w:rPr>
        <w:t>Devan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-118745</wp:posOffset>
            </wp:positionV>
            <wp:extent cx="8864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20"/>
          <w:szCs w:val="20"/>
          <w:color w:val="auto"/>
        </w:rPr>
        <w:t>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u w:val="single" w:color="auto"/>
          <w:color w:val="auto"/>
        </w:rPr>
        <w:t>Annex I</w:t>
      </w:r>
    </w:p>
    <w:p>
      <w:pPr>
        <w:spacing w:after="0" w:line="148"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Amended Credit Agreement</w:t>
      </w:r>
    </w:p>
    <w:p>
      <w:pPr>
        <w:spacing w:after="0" w:line="168"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[Signature Page – Amendment No. 2 and Joinder]</w:t>
      </w:r>
    </w:p>
    <w:p>
      <w:pPr>
        <w:spacing w:after="0"/>
        <w:rPr>
          <w:sz w:val="20"/>
          <w:szCs w:val="20"/>
          <w:color w:val="auto"/>
        </w:rPr>
      </w:pPr>
      <w:r>
        <w:rPr>
          <w:rFonts w:ascii="Arial" w:cs="Arial" w:eastAsia="Arial" w:hAnsi="Arial"/>
          <w:sz w:val="18"/>
          <w:szCs w:val="18"/>
          <w:color w:val="auto"/>
        </w:rPr>
        <w:t>NAI-1523373604v6</w:t>
      </w:r>
    </w:p>
    <w:p>
      <w:pPr>
        <w:sectPr>
          <w:pgSz w:w="11900" w:h="16838" w:orient="portrait"/>
          <w:cols w:equalWidth="0" w:num="1">
            <w:col w:w="10139"/>
          </w:cols>
          <w:pgMar w:left="320" w:top="126" w:right="1440" w:bottom="1008" w:gutter="0" w:footer="0" w:header="0"/>
        </w:sectPr>
      </w:pPr>
    </w:p>
    <w:bookmarkStart w:id="65" w:name="page66"/>
    <w:bookmarkEnd w:id="65"/>
    <w:p>
      <w:pPr>
        <w:jc w:val="right"/>
        <w:ind w:right="40"/>
        <w:spacing w:after="0"/>
        <w:rPr>
          <w:sz w:val="20"/>
          <w:szCs w:val="20"/>
          <w:color w:val="auto"/>
        </w:rPr>
      </w:pPr>
      <w:r>
        <w:rPr>
          <w:rFonts w:ascii="Arial" w:cs="Arial" w:eastAsia="Arial" w:hAnsi="Arial"/>
          <w:sz w:val="15"/>
          <w:szCs w:val="15"/>
          <w:b w:val="1"/>
          <w:bCs w:val="1"/>
          <w:i w:val="1"/>
          <w:iCs w:val="1"/>
          <w:u w:val="single" w:color="auto"/>
          <w:color w:val="auto"/>
        </w:rPr>
        <w:t>AS AMENDED BY AMENDMENT NO. 1 AND JOINDER, DATED AS OF OCTOBER 30, 2020,</w:t>
      </w:r>
    </w:p>
    <w:p>
      <w:pPr>
        <w:jc w:val="right"/>
        <w:spacing w:after="0"/>
        <w:rPr>
          <w:sz w:val="20"/>
          <w:szCs w:val="20"/>
          <w:color w:val="auto"/>
        </w:rPr>
      </w:pPr>
      <w:r>
        <w:rPr>
          <w:rFonts w:ascii="Arial" w:cs="Arial" w:eastAsia="Arial" w:hAnsi="Arial"/>
          <w:sz w:val="15"/>
          <w:szCs w:val="15"/>
          <w:b w:val="1"/>
          <w:bCs w:val="1"/>
          <w:i w:val="1"/>
          <w:iCs w:val="1"/>
          <w:u w:val="single" w:color="auto"/>
          <w:color w:val="0000FF"/>
        </w:rPr>
        <w:t>AND AMENDMENT NO. 2 AND JOINDER, DATED AS OF DECEMBER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DEAL CUSIP: 21664UAQ9</w:t>
      </w:r>
    </w:p>
    <w:p>
      <w:pPr>
        <w:jc w:val="right"/>
        <w:ind w:right="40"/>
        <w:spacing w:after="0" w:line="197" w:lineRule="auto"/>
        <w:rPr>
          <w:sz w:val="20"/>
          <w:szCs w:val="20"/>
          <w:color w:val="auto"/>
        </w:rPr>
      </w:pPr>
      <w:r>
        <w:rPr>
          <w:rFonts w:ascii="Arial" w:cs="Arial" w:eastAsia="Arial" w:hAnsi="Arial"/>
          <w:sz w:val="20"/>
          <w:szCs w:val="20"/>
          <w:color w:val="auto"/>
        </w:rPr>
        <w:t>TERM LOAN CUSIP: 21664UAR7</w:t>
      </w:r>
    </w:p>
    <w:p>
      <w:pPr>
        <w:jc w:val="right"/>
        <w:spacing w:after="0"/>
        <w:rPr>
          <w:sz w:val="20"/>
          <w:szCs w:val="20"/>
          <w:color w:val="auto"/>
        </w:rPr>
      </w:pPr>
      <w:r>
        <w:rPr>
          <w:rFonts w:ascii="Arial" w:cs="Arial" w:eastAsia="Arial" w:hAnsi="Arial"/>
          <w:sz w:val="20"/>
          <w:szCs w:val="20"/>
          <w:color w:val="auto"/>
        </w:rPr>
        <w:t>REVOLVER CUSIP: 21664UAR7</w:t>
      </w:r>
    </w:p>
    <w:p>
      <w:pPr>
        <w:spacing w:after="0" w:line="4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REVOLVING CREDIT AND TERM LOAN AGREEMENT</w:t>
      </w:r>
    </w:p>
    <w:p>
      <w:pPr>
        <w:spacing w:after="0" w:line="16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dated as of</w:t>
      </w:r>
    </w:p>
    <w:p>
      <w:pPr>
        <w:spacing w:after="0" w:line="148"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April 1, 2020</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among</w:t>
      </w:r>
    </w:p>
    <w:p>
      <w:pPr>
        <w:spacing w:after="0" w:line="137"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THE COOPER COMPANIES, INC.,</w:t>
      </w:r>
    </w:p>
    <w:p>
      <w:pPr>
        <w:jc w:val="center"/>
        <w:ind w:right="40"/>
        <w:spacing w:after="0" w:line="197" w:lineRule="auto"/>
        <w:rPr>
          <w:sz w:val="20"/>
          <w:szCs w:val="20"/>
          <w:color w:val="auto"/>
        </w:rPr>
      </w:pPr>
      <w:r>
        <w:rPr>
          <w:rFonts w:ascii="Arial" w:cs="Arial" w:eastAsia="Arial" w:hAnsi="Arial"/>
          <w:sz w:val="20"/>
          <w:szCs w:val="20"/>
          <w:color w:val="auto"/>
        </w:rPr>
        <w:t xml:space="preserve">COOPERVISION INTERNATIONAL </w:t>
      </w:r>
      <w:r>
        <w:rPr>
          <w:rFonts w:ascii="Arial" w:cs="Arial" w:eastAsia="Arial" w:hAnsi="Arial"/>
          <w:sz w:val="20"/>
          <w:szCs w:val="20"/>
          <w:color w:val="FF0000"/>
          <w:strike w:val="1"/>
        </w:rPr>
        <w:t>HOLDING COMPANY, LP,</w:t>
      </w:r>
      <w:r>
        <w:rPr>
          <w:rFonts w:ascii="Arial" w:cs="Arial" w:eastAsia="Arial" w:hAnsi="Arial"/>
          <w:sz w:val="20"/>
          <w:szCs w:val="20"/>
          <w:color w:val="auto"/>
        </w:rPr>
        <w:t xml:space="preserve"> </w:t>
      </w:r>
      <w:r>
        <w:rPr>
          <w:rFonts w:ascii="Arial" w:cs="Arial" w:eastAsia="Arial" w:hAnsi="Arial"/>
          <w:sz w:val="20"/>
          <w:szCs w:val="20"/>
          <w:u w:val="single" w:color="auto"/>
          <w:color w:val="0000FF"/>
        </w:rPr>
        <w:t>LIMITED</w:t>
      </w:r>
    </w:p>
    <w:p>
      <w:pPr>
        <w:jc w:val="center"/>
        <w:ind w:right="40"/>
        <w:spacing w:after="0" w:line="197" w:lineRule="auto"/>
        <w:rPr>
          <w:sz w:val="20"/>
          <w:szCs w:val="20"/>
          <w:color w:val="auto"/>
        </w:rPr>
      </w:pPr>
      <w:r>
        <w:rPr>
          <w:rFonts w:ascii="Arial" w:cs="Arial" w:eastAsia="Arial" w:hAnsi="Arial"/>
          <w:sz w:val="20"/>
          <w:szCs w:val="20"/>
          <w:color w:val="FF0000"/>
          <w:strike w:val="1"/>
        </w:rPr>
        <w:t>COOPERSURGICAL NETHERLANDS B.V.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-118745</wp:posOffset>
            </wp:positionV>
            <wp:extent cx="311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-118745</wp:posOffset>
            </wp:positionV>
            <wp:extent cx="31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jc w:val="center"/>
        <w:spacing w:after="0" w:line="197" w:lineRule="auto"/>
        <w:rPr>
          <w:sz w:val="20"/>
          <w:szCs w:val="20"/>
          <w:color w:val="auto"/>
        </w:rPr>
      </w:pPr>
      <w:r>
        <w:rPr>
          <w:rFonts w:ascii="Arial" w:cs="Arial" w:eastAsia="Arial" w:hAnsi="Arial"/>
          <w:sz w:val="20"/>
          <w:szCs w:val="20"/>
          <w:u w:val="single" w:color="auto"/>
          <w:color w:val="0000FF"/>
        </w:rPr>
        <w:t>and</w:t>
      </w:r>
    </w:p>
    <w:p>
      <w:pPr>
        <w:jc w:val="center"/>
        <w:ind w:right="40"/>
        <w:spacing w:after="0" w:line="197" w:lineRule="auto"/>
        <w:rPr>
          <w:sz w:val="20"/>
          <w:szCs w:val="20"/>
          <w:color w:val="auto"/>
        </w:rPr>
      </w:pPr>
      <w:r>
        <w:rPr>
          <w:rFonts w:ascii="Arial" w:cs="Arial" w:eastAsia="Arial" w:hAnsi="Arial"/>
          <w:sz w:val="20"/>
          <w:szCs w:val="20"/>
          <w:color w:val="FF0000"/>
          <w:strike w:val="1"/>
        </w:rPr>
        <w:t>COOPERVISION HOLDING KFT.</w:t>
      </w:r>
      <w:r>
        <w:rPr>
          <w:rFonts w:ascii="Arial" w:cs="Arial" w:eastAsia="Arial" w:hAnsi="Arial"/>
          <w:sz w:val="20"/>
          <w:szCs w:val="20"/>
          <w:u w:val="single" w:color="auto"/>
          <w:color w:val="0000FF"/>
        </w:rPr>
        <w:t>COOPERSURGICAL HOLDINGS LIMITED</w:t>
      </w:r>
      <w:r>
        <w:rPr>
          <w:rFonts w:ascii="Arial" w:cs="Arial" w:eastAsia="Arial" w:hAnsi="Arial"/>
          <w:sz w:val="20"/>
          <w:szCs w:val="20"/>
          <w:color w:val="000000"/>
        </w:rPr>
        <w:t>,</w:t>
      </w:r>
    </w:p>
    <w:p>
      <w:pPr>
        <w:spacing w:after="0" w:line="1"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as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5646420</wp:posOffset>
            </wp:positionH>
            <wp:positionV relativeFrom="paragraph">
              <wp:posOffset>-144780</wp:posOffset>
            </wp:positionV>
            <wp:extent cx="31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87"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THE LENDERS NAMED HEREIN,</w:t>
      </w:r>
    </w:p>
    <w:p>
      <w:pPr>
        <w:ind w:left="5180"/>
        <w:spacing w:after="0"/>
        <w:rPr>
          <w:sz w:val="20"/>
          <w:szCs w:val="20"/>
          <w:color w:val="auto"/>
        </w:rPr>
      </w:pPr>
      <w:r>
        <w:rPr>
          <w:rFonts w:ascii="Arial" w:cs="Arial" w:eastAsia="Arial" w:hAnsi="Arial"/>
          <w:sz w:val="20"/>
          <w:szCs w:val="20"/>
          <w:color w:val="auto"/>
        </w:rPr>
        <w:t>as Lenders,</w:t>
      </w:r>
    </w:p>
    <w:p>
      <w:pPr>
        <w:spacing w:after="0" w:line="12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KEYBANK NATIONAL ASSOCIATION,</w:t>
      </w:r>
    </w:p>
    <w:p>
      <w:pPr>
        <w:ind w:left="4640"/>
        <w:spacing w:after="0"/>
        <w:rPr>
          <w:sz w:val="20"/>
          <w:szCs w:val="20"/>
          <w:color w:val="auto"/>
        </w:rPr>
      </w:pPr>
      <w:r>
        <w:rPr>
          <w:rFonts w:ascii="Arial" w:cs="Arial" w:eastAsia="Arial" w:hAnsi="Arial"/>
          <w:sz w:val="20"/>
          <w:szCs w:val="20"/>
          <w:color w:val="auto"/>
        </w:rPr>
        <w:t>as Administrative Agent,</w:t>
      </w:r>
    </w:p>
    <w:p>
      <w:pPr>
        <w:spacing w:after="0" w:line="146" w:lineRule="exact"/>
        <w:rPr>
          <w:sz w:val="20"/>
          <w:szCs w:val="20"/>
          <w:color w:val="auto"/>
        </w:rPr>
      </w:pPr>
    </w:p>
    <w:p>
      <w:pPr>
        <w:ind w:left="3720"/>
        <w:spacing w:after="0"/>
        <w:rPr>
          <w:sz w:val="20"/>
          <w:szCs w:val="20"/>
          <w:color w:val="auto"/>
        </w:rPr>
      </w:pPr>
      <w:r>
        <w:rPr>
          <w:rFonts w:ascii="Arial" w:cs="Arial" w:eastAsia="Arial" w:hAnsi="Arial"/>
          <w:sz w:val="20"/>
          <w:szCs w:val="20"/>
          <w:color w:val="auto"/>
        </w:rPr>
        <w:t>PNC BANK, NATIONAL ASSOCIATION, and</w:t>
      </w:r>
    </w:p>
    <w:p>
      <w:pPr>
        <w:spacing w:after="0" w:line="148"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TD BANK, N.A.,</w:t>
      </w:r>
    </w:p>
    <w:p>
      <w:pPr>
        <w:spacing w:after="0" w:line="16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as Syndication Agents,</w:t>
      </w:r>
    </w:p>
    <w:p>
      <w:pPr>
        <w:spacing w:after="0" w:line="137"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BANK OF THE WEST,</w:t>
      </w:r>
    </w:p>
    <w:p>
      <w:pPr>
        <w:jc w:val="center"/>
        <w:ind w:right="40"/>
        <w:spacing w:after="0" w:line="197" w:lineRule="auto"/>
        <w:rPr>
          <w:sz w:val="20"/>
          <w:szCs w:val="20"/>
          <w:color w:val="auto"/>
        </w:rPr>
      </w:pPr>
      <w:r>
        <w:rPr>
          <w:rFonts w:ascii="Arial" w:cs="Arial" w:eastAsia="Arial" w:hAnsi="Arial"/>
          <w:sz w:val="20"/>
          <w:szCs w:val="20"/>
          <w:color w:val="auto"/>
        </w:rPr>
        <w:t>CITIZENS BANK, N.A.,</w:t>
      </w:r>
    </w:p>
    <w:p>
      <w:pPr>
        <w:jc w:val="center"/>
        <w:ind w:right="40"/>
        <w:spacing w:after="0" w:line="197" w:lineRule="auto"/>
        <w:rPr>
          <w:sz w:val="20"/>
          <w:szCs w:val="20"/>
          <w:color w:val="auto"/>
        </w:rPr>
      </w:pPr>
      <w:r>
        <w:rPr>
          <w:rFonts w:ascii="Arial" w:cs="Arial" w:eastAsia="Arial" w:hAnsi="Arial"/>
          <w:sz w:val="20"/>
          <w:szCs w:val="20"/>
          <w:color w:val="auto"/>
        </w:rPr>
        <w:t>MIZUHO BANK, LTD.,</w:t>
      </w:r>
    </w:p>
    <w:p>
      <w:pPr>
        <w:jc w:val="center"/>
        <w:ind w:right="40"/>
        <w:spacing w:after="0" w:line="197" w:lineRule="auto"/>
        <w:rPr>
          <w:sz w:val="20"/>
          <w:szCs w:val="20"/>
          <w:color w:val="auto"/>
        </w:rPr>
      </w:pPr>
      <w:r>
        <w:rPr>
          <w:rFonts w:ascii="Arial" w:cs="Arial" w:eastAsia="Arial" w:hAnsi="Arial"/>
          <w:sz w:val="20"/>
          <w:szCs w:val="20"/>
          <w:color w:val="auto"/>
        </w:rPr>
        <w:t>THE BANK OF NOVA SCOTIA,</w:t>
      </w:r>
    </w:p>
    <w:p>
      <w:pPr>
        <w:jc w:val="center"/>
        <w:ind w:right="40"/>
        <w:spacing w:after="0" w:line="197" w:lineRule="auto"/>
        <w:rPr>
          <w:sz w:val="20"/>
          <w:szCs w:val="20"/>
          <w:color w:val="auto"/>
        </w:rPr>
      </w:pPr>
      <w:r>
        <w:rPr>
          <w:rFonts w:ascii="Arial" w:cs="Arial" w:eastAsia="Arial" w:hAnsi="Arial"/>
          <w:sz w:val="20"/>
          <w:szCs w:val="20"/>
          <w:color w:val="auto"/>
        </w:rPr>
        <w:t>U.S. BANK NATIONAL ASSOCIATION and</w:t>
      </w:r>
    </w:p>
    <w:p>
      <w:pPr>
        <w:jc w:val="center"/>
        <w:ind w:right="40"/>
        <w:spacing w:after="0" w:line="198" w:lineRule="auto"/>
        <w:rPr>
          <w:sz w:val="20"/>
          <w:szCs w:val="20"/>
          <w:color w:val="auto"/>
        </w:rPr>
      </w:pPr>
      <w:r>
        <w:rPr>
          <w:rFonts w:ascii="Arial" w:cs="Arial" w:eastAsia="Arial" w:hAnsi="Arial"/>
          <w:sz w:val="20"/>
          <w:szCs w:val="20"/>
          <w:color w:val="auto"/>
        </w:rPr>
        <w:t>WELLS FARGO BANK, NATIONAL ASSOCIATION</w:t>
      </w:r>
    </w:p>
    <w:p>
      <w:pPr>
        <w:jc w:val="center"/>
        <w:spacing w:after="0"/>
        <w:rPr>
          <w:sz w:val="20"/>
          <w:szCs w:val="20"/>
          <w:color w:val="auto"/>
        </w:rPr>
      </w:pPr>
      <w:r>
        <w:rPr>
          <w:rFonts w:ascii="Arial" w:cs="Arial" w:eastAsia="Arial" w:hAnsi="Arial"/>
          <w:sz w:val="20"/>
          <w:szCs w:val="20"/>
          <w:color w:val="auto"/>
        </w:rPr>
        <w:t>as Documentation Agents,</w:t>
      </w:r>
    </w:p>
    <w:p>
      <w:pPr>
        <w:spacing w:after="0" w:line="13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and</w:t>
      </w:r>
    </w:p>
    <w:p>
      <w:pPr>
        <w:spacing w:after="0" w:line="137"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KEYBANC CAPITAL MARKETS INC.,</w:t>
      </w:r>
    </w:p>
    <w:p>
      <w:pPr>
        <w:ind w:left="4640"/>
        <w:spacing w:after="0" w:line="197" w:lineRule="auto"/>
        <w:rPr>
          <w:sz w:val="20"/>
          <w:szCs w:val="20"/>
          <w:color w:val="auto"/>
        </w:rPr>
      </w:pPr>
      <w:r>
        <w:rPr>
          <w:rFonts w:ascii="Arial" w:cs="Arial" w:eastAsia="Arial" w:hAnsi="Arial"/>
          <w:sz w:val="20"/>
          <w:szCs w:val="20"/>
          <w:color w:val="auto"/>
        </w:rPr>
        <w:t>BANK OF THE WEST,</w:t>
      </w:r>
    </w:p>
    <w:p>
      <w:pPr>
        <w:ind w:left="4580"/>
        <w:spacing w:after="0" w:line="197" w:lineRule="auto"/>
        <w:rPr>
          <w:sz w:val="20"/>
          <w:szCs w:val="20"/>
          <w:color w:val="auto"/>
        </w:rPr>
      </w:pPr>
      <w:r>
        <w:rPr>
          <w:rFonts w:ascii="Arial" w:cs="Arial" w:eastAsia="Arial" w:hAnsi="Arial"/>
          <w:sz w:val="20"/>
          <w:szCs w:val="20"/>
          <w:color w:val="auto"/>
        </w:rPr>
        <w:t>CITIZENS BANK, N.A.,</w:t>
      </w:r>
    </w:p>
    <w:p>
      <w:pPr>
        <w:ind w:left="4620"/>
        <w:spacing w:after="0" w:line="197" w:lineRule="auto"/>
        <w:rPr>
          <w:sz w:val="20"/>
          <w:szCs w:val="20"/>
          <w:color w:val="auto"/>
        </w:rPr>
      </w:pPr>
      <w:r>
        <w:rPr>
          <w:rFonts w:ascii="Arial" w:cs="Arial" w:eastAsia="Arial" w:hAnsi="Arial"/>
          <w:sz w:val="20"/>
          <w:szCs w:val="20"/>
          <w:color w:val="auto"/>
        </w:rPr>
        <w:t>MIZUHO BANK, LTD.,</w:t>
      </w:r>
    </w:p>
    <w:p>
      <w:pPr>
        <w:ind w:left="4220"/>
        <w:spacing w:after="0" w:line="197" w:lineRule="auto"/>
        <w:rPr>
          <w:sz w:val="20"/>
          <w:szCs w:val="20"/>
          <w:color w:val="auto"/>
        </w:rPr>
      </w:pPr>
      <w:r>
        <w:rPr>
          <w:rFonts w:ascii="Arial" w:cs="Arial" w:eastAsia="Arial" w:hAnsi="Arial"/>
          <w:sz w:val="20"/>
          <w:szCs w:val="20"/>
          <w:color w:val="auto"/>
        </w:rPr>
        <w:t>PNC CAPITAL MARKETS, LLC,</w:t>
      </w:r>
    </w:p>
    <w:p>
      <w:pPr>
        <w:ind w:left="4240"/>
        <w:spacing w:after="0" w:line="198" w:lineRule="auto"/>
        <w:rPr>
          <w:sz w:val="20"/>
          <w:szCs w:val="20"/>
          <w:color w:val="auto"/>
        </w:rPr>
      </w:pPr>
      <w:r>
        <w:rPr>
          <w:rFonts w:ascii="Arial" w:cs="Arial" w:eastAsia="Arial" w:hAnsi="Arial"/>
          <w:sz w:val="20"/>
          <w:szCs w:val="20"/>
          <w:color w:val="auto"/>
        </w:rPr>
        <w:t>THE BANK OF NOVA SCOTIA,</w:t>
      </w:r>
    </w:p>
    <w:p>
      <w:pPr>
        <w:ind w:left="4360"/>
        <w:spacing w:after="0" w:line="197" w:lineRule="auto"/>
        <w:rPr>
          <w:sz w:val="20"/>
          <w:szCs w:val="20"/>
          <w:color w:val="auto"/>
        </w:rPr>
      </w:pPr>
      <w:r>
        <w:rPr>
          <w:rFonts w:ascii="Arial" w:cs="Arial" w:eastAsia="Arial" w:hAnsi="Arial"/>
          <w:sz w:val="20"/>
          <w:szCs w:val="20"/>
          <w:color w:val="auto"/>
        </w:rPr>
        <w:t>TD SECURITIES (USA) LLC,</w:t>
      </w:r>
    </w:p>
    <w:p>
      <w:pPr>
        <w:ind w:left="3760"/>
        <w:spacing w:after="0" w:line="197" w:lineRule="auto"/>
        <w:rPr>
          <w:sz w:val="20"/>
          <w:szCs w:val="20"/>
          <w:color w:val="auto"/>
        </w:rPr>
      </w:pPr>
      <w:r>
        <w:rPr>
          <w:rFonts w:ascii="Arial" w:cs="Arial" w:eastAsia="Arial" w:hAnsi="Arial"/>
          <w:sz w:val="20"/>
          <w:szCs w:val="20"/>
          <w:color w:val="auto"/>
        </w:rPr>
        <w:t>U.S. BANK NATIONAL ASSOCIATION and</w:t>
      </w:r>
    </w:p>
    <w:p>
      <w:pPr>
        <w:ind w:left="4080"/>
        <w:spacing w:after="0" w:line="197" w:lineRule="auto"/>
        <w:rPr>
          <w:sz w:val="20"/>
          <w:szCs w:val="20"/>
          <w:color w:val="auto"/>
        </w:rPr>
      </w:pPr>
      <w:r>
        <w:rPr>
          <w:rFonts w:ascii="Arial" w:cs="Arial" w:eastAsia="Arial" w:hAnsi="Arial"/>
          <w:sz w:val="20"/>
          <w:szCs w:val="20"/>
          <w:color w:val="auto"/>
        </w:rPr>
        <w:t>WELLS FARGO SECURITIES, LLC,</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as Joint Bookrunners and Joint Lead Arrangers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$1,290,000,000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NAI-1523373604v</w:t>
      </w:r>
      <w:r>
        <w:rPr>
          <w:rFonts w:ascii="Arial" w:cs="Arial" w:eastAsia="Arial" w:hAnsi="Arial"/>
          <w:sz w:val="19"/>
          <w:szCs w:val="19"/>
          <w:color w:val="FF0000"/>
          <w:strike w:val="1"/>
        </w:rPr>
        <w:t>1</w:t>
      </w:r>
      <w:r>
        <w:rPr>
          <w:rFonts w:ascii="Arial" w:cs="Arial" w:eastAsia="Arial" w:hAnsi="Arial"/>
          <w:sz w:val="16"/>
          <w:szCs w:val="16"/>
          <w:u w:val="single" w:color="auto"/>
          <w:color w:val="0000FF"/>
        </w:rPr>
        <w:t>6</w:t>
      </w:r>
    </w:p>
    <w:p>
      <w:pPr>
        <w:sectPr>
          <w:pgSz w:w="11900" w:h="16838" w:orient="portrait"/>
          <w:cols w:equalWidth="0" w:num="1">
            <w:col w:w="11240"/>
          </w:cols>
          <w:pgMar w:left="320" w:top="10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60" w:type="dxa"/>
            <w:vAlign w:val="bottom"/>
            <w:gridSpan w:val="4"/>
          </w:tcPr>
          <w:p>
            <w:pPr>
              <w:spacing w:after="0"/>
              <w:rPr>
                <w:sz w:val="20"/>
                <w:szCs w:val="20"/>
                <w:color w:val="auto"/>
              </w:rPr>
            </w:pPr>
            <w:r>
              <w:rPr>
                <w:rFonts w:ascii="Arial" w:cs="Arial" w:eastAsia="Arial" w:hAnsi="Arial"/>
                <w:sz w:val="20"/>
                <w:szCs w:val="20"/>
                <w:color w:val="auto"/>
              </w:rPr>
              <w:t>ARTICLE I DEFINITIONS</w:t>
            </w:r>
          </w:p>
        </w:tc>
        <w:tc>
          <w:tcPr>
            <w:tcW w:w="4920" w:type="dxa"/>
            <w:vAlign w:val="bottom"/>
            <w:gridSpan w:val="55"/>
          </w:tcPr>
          <w:p>
            <w:pPr>
              <w:ind w:left="6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98"/>
        </w:trPr>
        <w:tc>
          <w:tcPr>
            <w:tcW w:w="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20"/>
                <w:szCs w:val="20"/>
                <w:color w:val="auto"/>
                <w:w w:val="88"/>
              </w:rPr>
              <w:t>Section 1.01</w:t>
            </w:r>
          </w:p>
        </w:tc>
        <w:tc>
          <w:tcPr>
            <w:tcW w:w="20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20"/>
                <w:szCs w:val="20"/>
                <w:color w:val="auto"/>
                <w:w w:val="91"/>
              </w:rPr>
              <w:t>Defined Terms</w:t>
            </w:r>
          </w:p>
        </w:tc>
        <w:tc>
          <w:tcPr>
            <w:tcW w:w="280" w:type="dxa"/>
            <w:vAlign w:val="bottom"/>
            <w:gridSpan w:val="3"/>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80" w:type="dxa"/>
            <w:vAlign w:val="bottom"/>
          </w:tcPr>
          <w:p>
            <w:pPr>
              <w:jc w:val="center"/>
              <w:spacing w:after="0" w:line="216" w:lineRule="exact"/>
              <w:rPr>
                <w:sz w:val="20"/>
                <w:szCs w:val="20"/>
                <w:color w:val="auto"/>
              </w:rPr>
            </w:pPr>
            <w:r>
              <w:rPr>
                <w:rFonts w:ascii="Arial" w:cs="Arial" w:eastAsia="Arial" w:hAnsi="Arial"/>
                <w:sz w:val="20"/>
                <w:szCs w:val="20"/>
                <w:color w:val="auto"/>
                <w:w w:val="88"/>
              </w:rPr>
              <w:t>Section 1.02</w:t>
            </w:r>
          </w:p>
        </w:tc>
        <w:tc>
          <w:tcPr>
            <w:tcW w:w="200" w:type="dxa"/>
            <w:vAlign w:val="bottom"/>
          </w:tcPr>
          <w:p>
            <w:pPr>
              <w:spacing w:after="0"/>
              <w:rPr>
                <w:sz w:val="18"/>
                <w:szCs w:val="18"/>
                <w:color w:val="auto"/>
              </w:rPr>
            </w:pPr>
          </w:p>
        </w:tc>
        <w:tc>
          <w:tcPr>
            <w:tcW w:w="3180" w:type="dxa"/>
            <w:vAlign w:val="bottom"/>
            <w:gridSpan w:val="39"/>
          </w:tcPr>
          <w:p>
            <w:pPr>
              <w:spacing w:after="0" w:line="216" w:lineRule="exact"/>
              <w:rPr>
                <w:sz w:val="20"/>
                <w:szCs w:val="20"/>
                <w:color w:val="auto"/>
              </w:rPr>
            </w:pPr>
            <w:r>
              <w:rPr>
                <w:rFonts w:ascii="Arial" w:cs="Arial" w:eastAsia="Arial" w:hAnsi="Arial"/>
                <w:sz w:val="20"/>
                <w:szCs w:val="20"/>
                <w:color w:val="auto"/>
                <w:w w:val="91"/>
              </w:rPr>
              <w:t>Classification of Loans and Borrowings</w:t>
            </w:r>
          </w:p>
        </w:tc>
        <w:tc>
          <w:tcPr>
            <w:tcW w:w="400" w:type="dxa"/>
            <w:vAlign w:val="bottom"/>
            <w:gridSpan w:val="6"/>
          </w:tcPr>
          <w:p>
            <w:pPr>
              <w:jc w:val="right"/>
              <w:spacing w:after="0" w:line="216" w:lineRule="exact"/>
              <w:rPr>
                <w:sz w:val="20"/>
                <w:szCs w:val="20"/>
                <w:color w:val="auto"/>
              </w:rPr>
            </w:pPr>
            <w:r>
              <w:rPr>
                <w:rFonts w:ascii="Arial" w:cs="Arial" w:eastAsia="Arial" w:hAnsi="Arial"/>
                <w:sz w:val="20"/>
                <w:szCs w:val="20"/>
                <w:color w:val="auto"/>
              </w:rPr>
              <w:t>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6" w:lineRule="exact"/>
              <w:rPr>
                <w:sz w:val="20"/>
                <w:szCs w:val="20"/>
                <w:color w:val="auto"/>
              </w:rPr>
            </w:pPr>
            <w:r>
              <w:rPr>
                <w:rFonts w:ascii="Arial" w:cs="Arial" w:eastAsia="Arial" w:hAnsi="Arial"/>
                <w:sz w:val="20"/>
                <w:szCs w:val="20"/>
                <w:color w:val="auto"/>
                <w:w w:val="88"/>
              </w:rPr>
              <w:t>Section 1.03</w:t>
            </w:r>
          </w:p>
        </w:tc>
        <w:tc>
          <w:tcPr>
            <w:tcW w:w="1620" w:type="dxa"/>
            <w:vAlign w:val="bottom"/>
            <w:gridSpan w:val="9"/>
          </w:tcPr>
          <w:p>
            <w:pPr>
              <w:ind w:left="200"/>
              <w:spacing w:after="0" w:line="206" w:lineRule="exact"/>
              <w:rPr>
                <w:sz w:val="20"/>
                <w:szCs w:val="20"/>
                <w:color w:val="auto"/>
              </w:rPr>
            </w:pPr>
            <w:r>
              <w:rPr>
                <w:rFonts w:ascii="Arial" w:cs="Arial" w:eastAsia="Arial" w:hAnsi="Arial"/>
                <w:sz w:val="20"/>
                <w:szCs w:val="20"/>
                <w:color w:val="auto"/>
                <w:w w:val="94"/>
              </w:rPr>
              <w:t>Terms Generally</w:t>
            </w:r>
          </w:p>
        </w:tc>
        <w:tc>
          <w:tcPr>
            <w:tcW w:w="80" w:type="dxa"/>
            <w:vAlign w:val="bottom"/>
          </w:tcPr>
          <w:p>
            <w:pPr>
              <w:spacing w:after="0"/>
              <w:rPr>
                <w:sz w:val="17"/>
                <w:szCs w:val="17"/>
                <w:color w:val="auto"/>
              </w:rPr>
            </w:pPr>
          </w:p>
        </w:tc>
        <w:tc>
          <w:tcPr>
            <w:tcW w:w="220" w:type="dxa"/>
            <w:vAlign w:val="bottom"/>
            <w:gridSpan w:val="4"/>
          </w:tcPr>
          <w:p>
            <w:pPr>
              <w:jc w:val="right"/>
              <w:spacing w:after="0" w:line="206" w:lineRule="exact"/>
              <w:rPr>
                <w:sz w:val="20"/>
                <w:szCs w:val="20"/>
                <w:color w:val="auto"/>
              </w:rPr>
            </w:pPr>
            <w:r>
              <w:rPr>
                <w:rFonts w:ascii="Arial" w:cs="Arial" w:eastAsia="Arial" w:hAnsi="Arial"/>
                <w:sz w:val="20"/>
                <w:szCs w:val="20"/>
                <w:color w:val="FF0000"/>
                <w:strike w:val="1"/>
                <w:w w:val="89"/>
              </w:rPr>
              <w:t>27</w:t>
            </w:r>
          </w:p>
        </w:tc>
        <w:tc>
          <w:tcPr>
            <w:tcW w:w="200" w:type="dxa"/>
            <w:vAlign w:val="bottom"/>
            <w:tcBorders>
              <w:bottom w:val="single" w:sz="8" w:color="0000FF"/>
            </w:tcBorders>
            <w:gridSpan w:val="5"/>
          </w:tcPr>
          <w:p>
            <w:pPr>
              <w:spacing w:after="0" w:line="206" w:lineRule="exact"/>
              <w:rPr>
                <w:sz w:val="20"/>
                <w:szCs w:val="20"/>
                <w:color w:val="auto"/>
              </w:rPr>
            </w:pPr>
            <w:r>
              <w:rPr>
                <w:rFonts w:ascii="Arial" w:cs="Arial" w:eastAsia="Arial" w:hAnsi="Arial"/>
                <w:sz w:val="20"/>
                <w:szCs w:val="20"/>
                <w:color w:val="0000FF"/>
                <w:w w:val="71"/>
              </w:rPr>
              <w:t>28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1.04</w:t>
            </w:r>
          </w:p>
        </w:tc>
        <w:tc>
          <w:tcPr>
            <w:tcW w:w="2520" w:type="dxa"/>
            <w:vAlign w:val="bottom"/>
            <w:gridSpan w:val="24"/>
          </w:tcPr>
          <w:p>
            <w:pPr>
              <w:ind w:left="200"/>
              <w:spacing w:after="0" w:line="196" w:lineRule="exact"/>
              <w:rPr>
                <w:sz w:val="20"/>
                <w:szCs w:val="20"/>
                <w:color w:val="auto"/>
              </w:rPr>
            </w:pPr>
            <w:r>
              <w:rPr>
                <w:rFonts w:ascii="Arial" w:cs="Arial" w:eastAsia="Arial" w:hAnsi="Arial"/>
                <w:sz w:val="20"/>
                <w:szCs w:val="20"/>
                <w:color w:val="auto"/>
              </w:rPr>
              <w:t>Accounting Terms; GAAP</w:t>
            </w:r>
          </w:p>
        </w:tc>
        <w:tc>
          <w:tcPr>
            <w:tcW w:w="160" w:type="dxa"/>
            <w:vAlign w:val="bottom"/>
            <w:gridSpan w:val="4"/>
          </w:tcPr>
          <w:p>
            <w:pPr>
              <w:jc w:val="right"/>
              <w:spacing w:after="0"/>
              <w:rPr>
                <w:sz w:val="20"/>
                <w:szCs w:val="20"/>
                <w:color w:val="auto"/>
              </w:rPr>
            </w:pPr>
            <w:r>
              <w:rPr>
                <w:rFonts w:ascii="Arial" w:cs="Arial" w:eastAsia="Arial" w:hAnsi="Arial"/>
                <w:sz w:val="16"/>
                <w:szCs w:val="16"/>
                <w:color w:val="FF0000"/>
                <w:strike w:val="1"/>
                <w:w w:val="78"/>
              </w:rPr>
              <w:t>27</w:t>
            </w:r>
          </w:p>
        </w:tc>
        <w:tc>
          <w:tcPr>
            <w:tcW w:w="20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20"/>
                <w:szCs w:val="20"/>
                <w:color w:val="0000FF"/>
                <w:w w:val="80"/>
              </w:rPr>
              <w:t>28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7" w:lineRule="exact"/>
              <w:rPr>
                <w:sz w:val="20"/>
                <w:szCs w:val="20"/>
                <w:color w:val="auto"/>
              </w:rPr>
            </w:pPr>
            <w:r>
              <w:rPr>
                <w:rFonts w:ascii="Arial" w:cs="Arial" w:eastAsia="Arial" w:hAnsi="Arial"/>
                <w:sz w:val="20"/>
                <w:szCs w:val="20"/>
                <w:color w:val="auto"/>
                <w:w w:val="88"/>
              </w:rPr>
              <w:t>Section 1.05</w:t>
            </w:r>
          </w:p>
        </w:tc>
        <w:tc>
          <w:tcPr>
            <w:tcW w:w="200" w:type="dxa"/>
            <w:vAlign w:val="bottom"/>
          </w:tcPr>
          <w:p>
            <w:pPr>
              <w:spacing w:after="0"/>
              <w:rPr>
                <w:sz w:val="17"/>
                <w:szCs w:val="17"/>
                <w:color w:val="auto"/>
              </w:rPr>
            </w:pPr>
          </w:p>
        </w:tc>
        <w:tc>
          <w:tcPr>
            <w:tcW w:w="1740" w:type="dxa"/>
            <w:vAlign w:val="bottom"/>
            <w:gridSpan w:val="14"/>
          </w:tcPr>
          <w:p>
            <w:pPr>
              <w:spacing w:after="0" w:line="207" w:lineRule="exact"/>
              <w:rPr>
                <w:sz w:val="20"/>
                <w:szCs w:val="20"/>
                <w:color w:val="auto"/>
              </w:rPr>
            </w:pPr>
            <w:r>
              <w:rPr>
                <w:rFonts w:ascii="Arial" w:cs="Arial" w:eastAsia="Arial" w:hAnsi="Arial"/>
                <w:sz w:val="20"/>
                <w:szCs w:val="20"/>
                <w:color w:val="auto"/>
                <w:w w:val="90"/>
              </w:rPr>
              <w:t>Currency Equivalents</w:t>
            </w:r>
          </w:p>
        </w:tc>
        <w:tc>
          <w:tcPr>
            <w:tcW w:w="460" w:type="dxa"/>
            <w:vAlign w:val="bottom"/>
            <w:gridSpan w:val="8"/>
          </w:tcPr>
          <w:p>
            <w:pPr>
              <w:jc w:val="right"/>
              <w:spacing w:after="0" w:line="207" w:lineRule="exact"/>
              <w:rPr>
                <w:sz w:val="20"/>
                <w:szCs w:val="20"/>
                <w:color w:val="auto"/>
              </w:rPr>
            </w:pPr>
            <w:r>
              <w:rPr>
                <w:rFonts w:ascii="Arial" w:cs="Arial" w:eastAsia="Arial" w:hAnsi="Arial"/>
                <w:sz w:val="20"/>
                <w:szCs w:val="20"/>
                <w:color w:val="auto"/>
              </w:rPr>
              <w:t>28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6" w:lineRule="exact"/>
              <w:rPr>
                <w:sz w:val="20"/>
                <w:szCs w:val="20"/>
                <w:color w:val="auto"/>
              </w:rPr>
            </w:pPr>
            <w:r>
              <w:rPr>
                <w:rFonts w:ascii="Arial" w:cs="Arial" w:eastAsia="Arial" w:hAnsi="Arial"/>
                <w:sz w:val="20"/>
                <w:szCs w:val="20"/>
                <w:color w:val="auto"/>
                <w:w w:val="88"/>
              </w:rPr>
              <w:t>Section 1.06</w:t>
            </w:r>
          </w:p>
        </w:tc>
        <w:tc>
          <w:tcPr>
            <w:tcW w:w="200" w:type="dxa"/>
            <w:vAlign w:val="bottom"/>
          </w:tcPr>
          <w:p>
            <w:pPr>
              <w:spacing w:after="0"/>
              <w:rPr>
                <w:sz w:val="17"/>
                <w:szCs w:val="17"/>
                <w:color w:val="auto"/>
              </w:rPr>
            </w:pPr>
          </w:p>
        </w:tc>
        <w:tc>
          <w:tcPr>
            <w:tcW w:w="1740" w:type="dxa"/>
            <w:vAlign w:val="bottom"/>
            <w:gridSpan w:val="14"/>
          </w:tcPr>
          <w:p>
            <w:pPr>
              <w:spacing w:after="0" w:line="206" w:lineRule="exact"/>
              <w:rPr>
                <w:sz w:val="20"/>
                <w:szCs w:val="20"/>
                <w:color w:val="auto"/>
              </w:rPr>
            </w:pPr>
            <w:r>
              <w:rPr>
                <w:rFonts w:ascii="Arial" w:cs="Arial" w:eastAsia="Arial" w:hAnsi="Arial"/>
                <w:sz w:val="20"/>
                <w:szCs w:val="20"/>
                <w:color w:val="auto"/>
              </w:rPr>
              <w:t>LIBOR Notification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3"/>
          </w:tcPr>
          <w:p>
            <w:pPr>
              <w:spacing w:after="0" w:line="206" w:lineRule="exact"/>
              <w:rPr>
                <w:sz w:val="20"/>
                <w:szCs w:val="20"/>
                <w:color w:val="auto"/>
              </w:rPr>
            </w:pPr>
            <w:r>
              <w:rPr>
                <w:rFonts w:ascii="Arial" w:cs="Arial" w:eastAsia="Arial" w:hAnsi="Arial"/>
                <w:sz w:val="20"/>
                <w:szCs w:val="20"/>
                <w:color w:val="FF0000"/>
                <w:strike w:val="1"/>
                <w:w w:val="80"/>
              </w:rPr>
              <w:t>28</w:t>
            </w:r>
          </w:p>
        </w:tc>
        <w:tc>
          <w:tcPr>
            <w:tcW w:w="200" w:type="dxa"/>
            <w:vAlign w:val="bottom"/>
            <w:tcBorders>
              <w:bottom w:val="single" w:sz="8" w:color="0000FF"/>
            </w:tcBorders>
            <w:gridSpan w:val="2"/>
          </w:tcPr>
          <w:p>
            <w:pPr>
              <w:jc w:val="right"/>
              <w:spacing w:after="0" w:line="206" w:lineRule="exact"/>
              <w:rPr>
                <w:sz w:val="20"/>
                <w:szCs w:val="20"/>
                <w:color w:val="auto"/>
              </w:rPr>
            </w:pPr>
            <w:r>
              <w:rPr>
                <w:rFonts w:ascii="Arial" w:cs="Arial" w:eastAsia="Arial" w:hAnsi="Arial"/>
                <w:sz w:val="20"/>
                <w:szCs w:val="20"/>
                <w:color w:val="0000FF"/>
                <w:w w:val="80"/>
              </w:rPr>
              <w:t>29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1.07</w:t>
            </w:r>
          </w:p>
        </w:tc>
        <w:tc>
          <w:tcPr>
            <w:tcW w:w="200" w:type="dxa"/>
            <w:vAlign w:val="bottom"/>
          </w:tcPr>
          <w:p>
            <w:pPr>
              <w:spacing w:after="0"/>
              <w:rPr>
                <w:sz w:val="17"/>
                <w:szCs w:val="17"/>
                <w:color w:val="auto"/>
              </w:rPr>
            </w:pPr>
          </w:p>
        </w:tc>
        <w:tc>
          <w:tcPr>
            <w:tcW w:w="1220" w:type="dxa"/>
            <w:vAlign w:val="bottom"/>
            <w:gridSpan w:val="6"/>
          </w:tcPr>
          <w:p>
            <w:pPr>
              <w:spacing w:after="0" w:line="196" w:lineRule="exact"/>
              <w:rPr>
                <w:sz w:val="20"/>
                <w:szCs w:val="20"/>
                <w:color w:val="auto"/>
              </w:rPr>
            </w:pPr>
            <w:r>
              <w:rPr>
                <w:rFonts w:ascii="Arial" w:cs="Arial" w:eastAsia="Arial" w:hAnsi="Arial"/>
                <w:sz w:val="20"/>
                <w:szCs w:val="20"/>
                <w:color w:val="auto"/>
              </w:rPr>
              <w:t>Dutch Terms</w:t>
            </w:r>
          </w:p>
        </w:tc>
        <w:tc>
          <w:tcPr>
            <w:tcW w:w="20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w w:val="80"/>
              </w:rPr>
              <w:t>28</w:t>
            </w:r>
          </w:p>
        </w:tc>
        <w:tc>
          <w:tcPr>
            <w:tcW w:w="200" w:type="dxa"/>
            <w:vAlign w:val="bottom"/>
            <w:tcBorders>
              <w:bottom w:val="single" w:sz="8" w:color="0000FF"/>
            </w:tcBorders>
            <w:gridSpan w:val="3"/>
          </w:tcPr>
          <w:p>
            <w:pPr>
              <w:jc w:val="right"/>
              <w:spacing w:after="0" w:line="196" w:lineRule="exact"/>
              <w:rPr>
                <w:sz w:val="20"/>
                <w:szCs w:val="20"/>
                <w:color w:val="auto"/>
              </w:rPr>
            </w:pPr>
            <w:r>
              <w:rPr>
                <w:rFonts w:ascii="Arial" w:cs="Arial" w:eastAsia="Arial" w:hAnsi="Arial"/>
                <w:sz w:val="20"/>
                <w:szCs w:val="20"/>
                <w:color w:val="0000FF"/>
                <w:w w:val="80"/>
              </w:rPr>
              <w:t>29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7" w:lineRule="exact"/>
              <w:rPr>
                <w:sz w:val="20"/>
                <w:szCs w:val="20"/>
                <w:color w:val="auto"/>
              </w:rPr>
            </w:pPr>
            <w:r>
              <w:rPr>
                <w:rFonts w:ascii="Arial" w:cs="Arial" w:eastAsia="Arial" w:hAnsi="Arial"/>
                <w:sz w:val="20"/>
                <w:szCs w:val="20"/>
                <w:color w:val="auto"/>
                <w:w w:val="88"/>
              </w:rPr>
              <w:t>Section 1.08</w:t>
            </w:r>
          </w:p>
        </w:tc>
        <w:tc>
          <w:tcPr>
            <w:tcW w:w="200" w:type="dxa"/>
            <w:vAlign w:val="bottom"/>
          </w:tcPr>
          <w:p>
            <w:pPr>
              <w:spacing w:after="0"/>
              <w:rPr>
                <w:sz w:val="17"/>
                <w:szCs w:val="17"/>
                <w:color w:val="auto"/>
              </w:rPr>
            </w:pPr>
          </w:p>
        </w:tc>
        <w:tc>
          <w:tcPr>
            <w:tcW w:w="1420" w:type="dxa"/>
            <w:vAlign w:val="bottom"/>
            <w:gridSpan w:val="8"/>
          </w:tcPr>
          <w:p>
            <w:pPr>
              <w:spacing w:after="0" w:line="207" w:lineRule="exact"/>
              <w:rPr>
                <w:sz w:val="20"/>
                <w:szCs w:val="20"/>
                <w:color w:val="auto"/>
              </w:rPr>
            </w:pPr>
            <w:r>
              <w:rPr>
                <w:rFonts w:ascii="Arial" w:cs="Arial" w:eastAsia="Arial" w:hAnsi="Arial"/>
                <w:sz w:val="20"/>
                <w:szCs w:val="20"/>
                <w:color w:val="auto"/>
                <w:w w:val="90"/>
              </w:rPr>
              <w:t>Hungarian Terms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5"/>
          </w:tcPr>
          <w:p>
            <w:pPr>
              <w:jc w:val="right"/>
              <w:spacing w:after="0"/>
              <w:rPr>
                <w:sz w:val="20"/>
                <w:szCs w:val="20"/>
                <w:color w:val="auto"/>
              </w:rPr>
            </w:pPr>
            <w:r>
              <w:rPr>
                <w:rFonts w:ascii="Arial" w:cs="Arial" w:eastAsia="Arial" w:hAnsi="Arial"/>
                <w:sz w:val="16"/>
                <w:szCs w:val="16"/>
                <w:color w:val="FF0000"/>
                <w:strike w:val="1"/>
                <w:w w:val="78"/>
              </w:rPr>
              <w:t>29</w:t>
            </w:r>
          </w:p>
        </w:tc>
        <w:tc>
          <w:tcPr>
            <w:tcW w:w="220" w:type="dxa"/>
            <w:vAlign w:val="bottom"/>
            <w:gridSpan w:val="4"/>
          </w:tcPr>
          <w:p>
            <w:pPr>
              <w:spacing w:after="0" w:line="207" w:lineRule="exact"/>
              <w:rPr>
                <w:sz w:val="20"/>
                <w:szCs w:val="20"/>
                <w:color w:val="auto"/>
              </w:rPr>
            </w:pPr>
            <w:r>
              <w:rPr>
                <w:rFonts w:ascii="Arial" w:cs="Arial" w:eastAsia="Arial" w:hAnsi="Arial"/>
                <w:sz w:val="20"/>
                <w:szCs w:val="20"/>
                <w:color w:val="auto"/>
                <w:w w:val="89"/>
              </w:rPr>
              <w:t>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gridSpan w:val="3"/>
          </w:tcPr>
          <w:p>
            <w:pPr>
              <w:spacing w:after="0"/>
              <w:rPr>
                <w:sz w:val="20"/>
                <w:szCs w:val="20"/>
                <w:color w:val="auto"/>
              </w:rPr>
            </w:pPr>
            <w:r>
              <w:rPr>
                <w:rFonts w:ascii="Arial" w:cs="Arial" w:eastAsia="Arial" w:hAnsi="Arial"/>
                <w:sz w:val="20"/>
                <w:szCs w:val="20"/>
                <w:color w:val="auto"/>
              </w:rPr>
              <w:t>Section 1.09</w:t>
            </w:r>
          </w:p>
        </w:tc>
        <w:tc>
          <w:tcPr>
            <w:tcW w:w="880" w:type="dxa"/>
            <w:vAlign w:val="bottom"/>
            <w:gridSpan w:val="3"/>
          </w:tcPr>
          <w:p>
            <w:pPr>
              <w:spacing w:after="0" w:line="216" w:lineRule="exact"/>
              <w:rPr>
                <w:sz w:val="20"/>
                <w:szCs w:val="20"/>
                <w:color w:val="auto"/>
              </w:rPr>
            </w:pPr>
            <w:r>
              <w:rPr>
                <w:rFonts w:ascii="Arial" w:cs="Arial" w:eastAsia="Arial" w:hAnsi="Arial"/>
                <w:sz w:val="20"/>
                <w:szCs w:val="20"/>
                <w:color w:val="auto"/>
              </w:rPr>
              <w:t>Divisions</w:t>
            </w:r>
          </w:p>
        </w:tc>
        <w:tc>
          <w:tcPr>
            <w:tcW w:w="4560" w:type="dxa"/>
            <w:vAlign w:val="bottom"/>
            <w:gridSpan w:val="53"/>
          </w:tcPr>
          <w:p>
            <w:pPr>
              <w:jc w:val="right"/>
              <w:ind w:right="4181"/>
              <w:spacing w:after="0" w:line="216" w:lineRule="exact"/>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6" w:lineRule="exact"/>
              <w:rPr>
                <w:sz w:val="20"/>
                <w:szCs w:val="20"/>
                <w:color w:val="auto"/>
              </w:rPr>
            </w:pPr>
            <w:r>
              <w:rPr>
                <w:rFonts w:ascii="Arial" w:cs="Arial" w:eastAsia="Arial" w:hAnsi="Arial"/>
                <w:sz w:val="20"/>
                <w:szCs w:val="20"/>
                <w:color w:val="0000FF"/>
                <w:w w:val="88"/>
              </w:rPr>
              <w:t>Section 1.10</w:t>
            </w:r>
          </w:p>
        </w:tc>
        <w:tc>
          <w:tcPr>
            <w:tcW w:w="200" w:type="dxa"/>
            <w:vAlign w:val="bottom"/>
          </w:tcPr>
          <w:p>
            <w:pPr>
              <w:spacing w:after="0"/>
              <w:rPr>
                <w:sz w:val="17"/>
                <w:szCs w:val="17"/>
                <w:color w:val="auto"/>
              </w:rPr>
            </w:pPr>
          </w:p>
        </w:tc>
        <w:tc>
          <w:tcPr>
            <w:tcW w:w="2000" w:type="dxa"/>
            <w:vAlign w:val="bottom"/>
            <w:gridSpan w:val="20"/>
          </w:tcPr>
          <w:p>
            <w:pPr>
              <w:spacing w:after="0" w:line="206" w:lineRule="exact"/>
              <w:rPr>
                <w:sz w:val="20"/>
                <w:szCs w:val="20"/>
                <w:color w:val="auto"/>
              </w:rPr>
            </w:pPr>
            <w:r>
              <w:rPr>
                <w:rFonts w:ascii="Arial" w:cs="Arial" w:eastAsia="Arial" w:hAnsi="Arial"/>
                <w:sz w:val="20"/>
                <w:szCs w:val="20"/>
                <w:color w:val="0000FF"/>
                <w:w w:val="96"/>
              </w:rPr>
              <w:t>Benchmark Notification</w:t>
            </w:r>
          </w:p>
        </w:tc>
        <w:tc>
          <w:tcPr>
            <w:tcW w:w="380" w:type="dxa"/>
            <w:vAlign w:val="bottom"/>
            <w:gridSpan w:val="4"/>
          </w:tcPr>
          <w:p>
            <w:pPr>
              <w:jc w:val="center"/>
              <w:spacing w:after="0" w:line="206" w:lineRule="exact"/>
              <w:rPr>
                <w:sz w:val="20"/>
                <w:szCs w:val="20"/>
                <w:color w:val="auto"/>
              </w:rPr>
            </w:pPr>
            <w:r>
              <w:rPr>
                <w:rFonts w:ascii="Arial" w:cs="Arial" w:eastAsia="Arial" w:hAnsi="Arial"/>
                <w:sz w:val="20"/>
                <w:szCs w:val="20"/>
                <w:color w:val="0000FF"/>
                <w:w w:val="89"/>
              </w:rPr>
              <w:t>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Borders>
              <w:right w:val="single" w:sz="8" w:color="0000FF"/>
            </w:tcBorders>
            <w:gridSpan w:val="21"/>
          </w:tcPr>
          <w:p>
            <w:pPr>
              <w:spacing w:after="0" w:line="20" w:lineRule="exact"/>
              <w:rPr>
                <w:sz w:val="1"/>
                <w:szCs w:val="1"/>
                <w:color w:val="auto"/>
              </w:rPr>
            </w:pPr>
          </w:p>
        </w:tc>
        <w:tc>
          <w:tcPr>
            <w:tcW w:w="280" w:type="dxa"/>
            <w:vAlign w:val="bottom"/>
            <w:tcBorders>
              <w:right w:val="single" w:sz="8" w:color="0000FF"/>
            </w:tcBorders>
            <w:gridSpan w:val="4"/>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120" w:type="dxa"/>
            <w:vAlign w:val="bottom"/>
            <w:gridSpan w:val="3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60" w:type="dxa"/>
            <w:vAlign w:val="bottom"/>
            <w:gridSpan w:val="4"/>
          </w:tcPr>
          <w:p>
            <w:pPr>
              <w:jc w:val="center"/>
              <w:spacing w:after="0"/>
              <w:rPr>
                <w:sz w:val="20"/>
                <w:szCs w:val="20"/>
                <w:color w:val="auto"/>
              </w:rPr>
            </w:pPr>
            <w:r>
              <w:rPr>
                <w:rFonts w:ascii="Arial" w:cs="Arial" w:eastAsia="Arial" w:hAnsi="Arial"/>
                <w:sz w:val="20"/>
                <w:szCs w:val="20"/>
                <w:color w:val="auto"/>
                <w:w w:val="96"/>
              </w:rPr>
              <w:t>ARTICLE II THE CREDITS</w:t>
            </w:r>
          </w:p>
        </w:tc>
        <w:tc>
          <w:tcPr>
            <w:tcW w:w="360" w:type="dxa"/>
            <w:vAlign w:val="bottom"/>
            <w:gridSpan w:val="2"/>
          </w:tcPr>
          <w:p>
            <w:pPr>
              <w:jc w:val="right"/>
              <w:spacing w:after="0"/>
              <w:rPr>
                <w:sz w:val="20"/>
                <w:szCs w:val="20"/>
                <w:color w:val="auto"/>
              </w:rPr>
            </w:pPr>
            <w:r>
              <w:rPr>
                <w:rFonts w:ascii="Arial" w:cs="Arial" w:eastAsia="Arial" w:hAnsi="Arial"/>
                <w:sz w:val="20"/>
                <w:szCs w:val="20"/>
                <w:color w:val="FF0000"/>
                <w:strike w:val="1"/>
              </w:rPr>
              <w:t>30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20"/>
                <w:szCs w:val="20"/>
                <w:color w:val="auto"/>
                <w:w w:val="88"/>
              </w:rPr>
              <w:t>Section 2.01</w:t>
            </w:r>
          </w:p>
        </w:tc>
        <w:tc>
          <w:tcPr>
            <w:tcW w:w="20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20"/>
                <w:szCs w:val="20"/>
                <w:color w:val="auto"/>
                <w:w w:val="97"/>
              </w:rPr>
              <w:t>Commitments</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rPr>
              <w:t>30</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7" w:lineRule="exact"/>
              <w:rPr>
                <w:sz w:val="20"/>
                <w:szCs w:val="20"/>
                <w:color w:val="auto"/>
              </w:rPr>
            </w:pPr>
            <w:r>
              <w:rPr>
                <w:rFonts w:ascii="Arial" w:cs="Arial" w:eastAsia="Arial" w:hAnsi="Arial"/>
                <w:sz w:val="20"/>
                <w:szCs w:val="20"/>
                <w:color w:val="auto"/>
                <w:w w:val="88"/>
              </w:rPr>
              <w:t>Section 2.02</w:t>
            </w:r>
          </w:p>
        </w:tc>
        <w:tc>
          <w:tcPr>
            <w:tcW w:w="200" w:type="dxa"/>
            <w:vAlign w:val="bottom"/>
          </w:tcPr>
          <w:p>
            <w:pPr>
              <w:spacing w:after="0"/>
              <w:rPr>
                <w:sz w:val="17"/>
                <w:szCs w:val="17"/>
                <w:color w:val="auto"/>
              </w:rPr>
            </w:pPr>
          </w:p>
        </w:tc>
        <w:tc>
          <w:tcPr>
            <w:tcW w:w="1740" w:type="dxa"/>
            <w:vAlign w:val="bottom"/>
            <w:gridSpan w:val="14"/>
          </w:tcPr>
          <w:p>
            <w:pPr>
              <w:spacing w:after="0" w:line="207" w:lineRule="exact"/>
              <w:rPr>
                <w:sz w:val="20"/>
                <w:szCs w:val="20"/>
                <w:color w:val="auto"/>
              </w:rPr>
            </w:pPr>
            <w:r>
              <w:rPr>
                <w:rFonts w:ascii="Arial" w:cs="Arial" w:eastAsia="Arial" w:hAnsi="Arial"/>
                <w:sz w:val="20"/>
                <w:szCs w:val="20"/>
                <w:color w:val="auto"/>
                <w:w w:val="86"/>
              </w:rPr>
              <w:t>Loans and Borrowings</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spacing w:after="0" w:line="207" w:lineRule="exact"/>
              <w:rPr>
                <w:sz w:val="20"/>
                <w:szCs w:val="20"/>
                <w:color w:val="auto"/>
              </w:rPr>
            </w:pPr>
            <w:r>
              <w:rPr>
                <w:rFonts w:ascii="Arial" w:cs="Arial" w:eastAsia="Arial" w:hAnsi="Arial"/>
                <w:sz w:val="20"/>
                <w:szCs w:val="20"/>
                <w:color w:val="auto"/>
                <w:w w:val="80"/>
              </w:rPr>
              <w:t>31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6" w:lineRule="exact"/>
              <w:rPr>
                <w:sz w:val="20"/>
                <w:szCs w:val="20"/>
                <w:color w:val="auto"/>
              </w:rPr>
            </w:pPr>
            <w:r>
              <w:rPr>
                <w:rFonts w:ascii="Arial" w:cs="Arial" w:eastAsia="Arial" w:hAnsi="Arial"/>
                <w:sz w:val="20"/>
                <w:szCs w:val="20"/>
                <w:color w:val="auto"/>
                <w:w w:val="88"/>
              </w:rPr>
              <w:t>Section 2.03</w:t>
            </w:r>
          </w:p>
        </w:tc>
        <w:tc>
          <w:tcPr>
            <w:tcW w:w="200" w:type="dxa"/>
            <w:vAlign w:val="bottom"/>
          </w:tcPr>
          <w:p>
            <w:pPr>
              <w:spacing w:after="0"/>
              <w:rPr>
                <w:sz w:val="17"/>
                <w:szCs w:val="17"/>
                <w:color w:val="auto"/>
              </w:rPr>
            </w:pPr>
          </w:p>
        </w:tc>
        <w:tc>
          <w:tcPr>
            <w:tcW w:w="2000" w:type="dxa"/>
            <w:vAlign w:val="bottom"/>
            <w:gridSpan w:val="20"/>
          </w:tcPr>
          <w:p>
            <w:pPr>
              <w:spacing w:after="0" w:line="206" w:lineRule="exact"/>
              <w:rPr>
                <w:sz w:val="20"/>
                <w:szCs w:val="20"/>
                <w:color w:val="auto"/>
              </w:rPr>
            </w:pPr>
            <w:r>
              <w:rPr>
                <w:rFonts w:ascii="Arial" w:cs="Arial" w:eastAsia="Arial" w:hAnsi="Arial"/>
                <w:sz w:val="20"/>
                <w:szCs w:val="20"/>
                <w:color w:val="auto"/>
                <w:w w:val="90"/>
              </w:rPr>
              <w:t>Requests for Borrowings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jc w:val="right"/>
              <w:spacing w:after="0" w:line="206" w:lineRule="exact"/>
              <w:rPr>
                <w:sz w:val="20"/>
                <w:szCs w:val="20"/>
                <w:color w:val="auto"/>
              </w:rPr>
            </w:pPr>
            <w:r>
              <w:rPr>
                <w:rFonts w:ascii="Arial" w:cs="Arial" w:eastAsia="Arial" w:hAnsi="Arial"/>
                <w:sz w:val="20"/>
                <w:szCs w:val="20"/>
                <w:color w:val="FF0000"/>
                <w:strike w:val="1"/>
                <w:w w:val="71"/>
              </w:rPr>
              <w:t>31</w:t>
            </w:r>
          </w:p>
        </w:tc>
        <w:tc>
          <w:tcPr>
            <w:tcW w:w="220" w:type="dxa"/>
            <w:vAlign w:val="bottom"/>
            <w:gridSpan w:val="5"/>
          </w:tcPr>
          <w:p>
            <w:pPr>
              <w:jc w:val="right"/>
              <w:ind w:right="20"/>
              <w:spacing w:after="0" w:line="206" w:lineRule="exact"/>
              <w:rPr>
                <w:sz w:val="20"/>
                <w:szCs w:val="20"/>
                <w:color w:val="auto"/>
              </w:rPr>
            </w:pPr>
            <w:r>
              <w:rPr>
                <w:rFonts w:ascii="Arial" w:cs="Arial" w:eastAsia="Arial" w:hAnsi="Arial"/>
                <w:sz w:val="20"/>
                <w:szCs w:val="20"/>
                <w:color w:val="0000FF"/>
                <w:w w:val="80"/>
              </w:rPr>
              <w:t>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2.04</w:t>
            </w:r>
          </w:p>
        </w:tc>
        <w:tc>
          <w:tcPr>
            <w:tcW w:w="200" w:type="dxa"/>
            <w:vAlign w:val="bottom"/>
          </w:tcPr>
          <w:p>
            <w:pPr>
              <w:spacing w:after="0"/>
              <w:rPr>
                <w:sz w:val="17"/>
                <w:szCs w:val="17"/>
                <w:color w:val="auto"/>
              </w:rPr>
            </w:pPr>
          </w:p>
        </w:tc>
        <w:tc>
          <w:tcPr>
            <w:tcW w:w="1740" w:type="dxa"/>
            <w:vAlign w:val="bottom"/>
            <w:gridSpan w:val="14"/>
          </w:tcPr>
          <w:p>
            <w:pPr>
              <w:spacing w:after="0" w:line="196" w:lineRule="exact"/>
              <w:rPr>
                <w:sz w:val="20"/>
                <w:szCs w:val="20"/>
                <w:color w:val="auto"/>
              </w:rPr>
            </w:pPr>
            <w:r>
              <w:rPr>
                <w:rFonts w:ascii="Arial" w:cs="Arial" w:eastAsia="Arial" w:hAnsi="Arial"/>
                <w:sz w:val="20"/>
                <w:szCs w:val="20"/>
                <w:color w:val="auto"/>
                <w:w w:val="91"/>
              </w:rPr>
              <w:t>Incremental Facilities</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w w:val="80"/>
              </w:rPr>
              <w:t>32</w:t>
            </w:r>
          </w:p>
        </w:tc>
        <w:tc>
          <w:tcPr>
            <w:tcW w:w="180" w:type="dxa"/>
            <w:vAlign w:val="bottom"/>
            <w:gridSpan w:val="2"/>
          </w:tcPr>
          <w:p>
            <w:pPr>
              <w:jc w:val="center"/>
              <w:spacing w:after="0"/>
              <w:rPr>
                <w:sz w:val="20"/>
                <w:szCs w:val="20"/>
                <w:color w:val="auto"/>
              </w:rPr>
            </w:pPr>
            <w:r>
              <w:rPr>
                <w:rFonts w:ascii="Arial" w:cs="Arial" w:eastAsia="Arial" w:hAnsi="Arial"/>
                <w:sz w:val="15"/>
                <w:szCs w:val="15"/>
                <w:color w:val="0000FF"/>
                <w:w w:val="71"/>
              </w:rPr>
              <w:t>33</w:t>
            </w: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2.05</w:t>
            </w:r>
          </w:p>
        </w:tc>
        <w:tc>
          <w:tcPr>
            <w:tcW w:w="200" w:type="dxa"/>
            <w:vAlign w:val="bottom"/>
          </w:tcPr>
          <w:p>
            <w:pPr>
              <w:spacing w:after="0"/>
              <w:rPr>
                <w:sz w:val="17"/>
                <w:szCs w:val="17"/>
                <w:color w:val="auto"/>
              </w:rPr>
            </w:pPr>
          </w:p>
        </w:tc>
        <w:tc>
          <w:tcPr>
            <w:tcW w:w="1420" w:type="dxa"/>
            <w:vAlign w:val="bottom"/>
            <w:gridSpan w:val="8"/>
          </w:tcPr>
          <w:p>
            <w:pPr>
              <w:spacing w:after="0" w:line="196" w:lineRule="exact"/>
              <w:rPr>
                <w:sz w:val="20"/>
                <w:szCs w:val="20"/>
                <w:color w:val="auto"/>
              </w:rPr>
            </w:pPr>
            <w:r>
              <w:rPr>
                <w:rFonts w:ascii="Arial" w:cs="Arial" w:eastAsia="Arial" w:hAnsi="Arial"/>
                <w:sz w:val="20"/>
                <w:szCs w:val="20"/>
                <w:color w:val="auto"/>
                <w:w w:val="96"/>
              </w:rPr>
              <w:t>Swingline Loans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w w:val="89"/>
              </w:rPr>
              <w:t>34</w:t>
            </w:r>
          </w:p>
        </w:tc>
        <w:tc>
          <w:tcPr>
            <w:tcW w:w="240" w:type="dxa"/>
            <w:vAlign w:val="bottom"/>
            <w:gridSpan w:val="5"/>
          </w:tcPr>
          <w:p>
            <w:pPr>
              <w:spacing w:after="0" w:line="196" w:lineRule="exact"/>
              <w:rPr>
                <w:sz w:val="20"/>
                <w:szCs w:val="20"/>
                <w:color w:val="auto"/>
              </w:rPr>
            </w:pPr>
            <w:r>
              <w:rPr>
                <w:rFonts w:ascii="Arial" w:cs="Arial" w:eastAsia="Arial" w:hAnsi="Arial"/>
                <w:sz w:val="20"/>
                <w:szCs w:val="20"/>
                <w:color w:val="0000FF"/>
                <w:w w:val="98"/>
              </w:rPr>
              <w:t>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60" w:type="dxa"/>
            <w:vAlign w:val="bottom"/>
          </w:tcPr>
          <w:p>
            <w:pPr>
              <w:spacing w:after="0"/>
              <w:rPr>
                <w:sz w:val="11"/>
                <w:szCs w:val="11"/>
                <w:color w:val="auto"/>
              </w:rPr>
            </w:pPr>
          </w:p>
        </w:tc>
        <w:tc>
          <w:tcPr>
            <w:tcW w:w="980" w:type="dxa"/>
            <w:vAlign w:val="bottom"/>
            <w:vMerge w:val="restart"/>
          </w:tcPr>
          <w:p>
            <w:pPr>
              <w:jc w:val="center"/>
              <w:spacing w:after="0" w:line="196" w:lineRule="exact"/>
              <w:rPr>
                <w:sz w:val="20"/>
                <w:szCs w:val="20"/>
                <w:color w:val="auto"/>
              </w:rPr>
            </w:pPr>
            <w:r>
              <w:rPr>
                <w:rFonts w:ascii="Arial" w:cs="Arial" w:eastAsia="Arial" w:hAnsi="Arial"/>
                <w:sz w:val="20"/>
                <w:szCs w:val="20"/>
                <w:color w:val="auto"/>
                <w:w w:val="88"/>
              </w:rPr>
              <w:t>Section 2.06</w:t>
            </w:r>
          </w:p>
        </w:tc>
        <w:tc>
          <w:tcPr>
            <w:tcW w:w="200" w:type="dxa"/>
            <w:vAlign w:val="bottom"/>
          </w:tcPr>
          <w:p>
            <w:pPr>
              <w:spacing w:after="0"/>
              <w:rPr>
                <w:sz w:val="11"/>
                <w:szCs w:val="11"/>
                <w:color w:val="auto"/>
              </w:rPr>
            </w:pPr>
          </w:p>
        </w:tc>
        <w:tc>
          <w:tcPr>
            <w:tcW w:w="1420" w:type="dxa"/>
            <w:vAlign w:val="bottom"/>
            <w:gridSpan w:val="8"/>
            <w:vMerge w:val="restart"/>
          </w:tcPr>
          <w:p>
            <w:pPr>
              <w:spacing w:after="0" w:line="196" w:lineRule="exact"/>
              <w:rPr>
                <w:sz w:val="20"/>
                <w:szCs w:val="20"/>
                <w:color w:val="auto"/>
              </w:rPr>
            </w:pPr>
            <w:r>
              <w:rPr>
                <w:rFonts w:ascii="Arial" w:cs="Arial" w:eastAsia="Arial" w:hAnsi="Arial"/>
                <w:sz w:val="20"/>
                <w:szCs w:val="20"/>
                <w:color w:val="auto"/>
                <w:w w:val="98"/>
              </w:rPr>
              <w:t>Letters of Credit</w:t>
            </w:r>
          </w:p>
        </w:tc>
        <w:tc>
          <w:tcPr>
            <w:tcW w:w="280" w:type="dxa"/>
            <w:vAlign w:val="bottom"/>
            <w:gridSpan w:val="4"/>
          </w:tcPr>
          <w:p>
            <w:pPr>
              <w:spacing w:after="0"/>
              <w:rPr>
                <w:sz w:val="11"/>
                <w:szCs w:val="11"/>
                <w:color w:val="auto"/>
              </w:rPr>
            </w:pPr>
          </w:p>
        </w:tc>
        <w:tc>
          <w:tcPr>
            <w:tcW w:w="20" w:type="dxa"/>
            <w:vAlign w:val="bottom"/>
            <w:vMerge w:val="restart"/>
          </w:tcPr>
          <w:p>
            <w:pPr>
              <w:spacing w:after="0"/>
              <w:rPr>
                <w:sz w:val="11"/>
                <w:szCs w:val="11"/>
                <w:color w:val="auto"/>
              </w:rPr>
            </w:pPr>
          </w:p>
        </w:tc>
        <w:tc>
          <w:tcPr>
            <w:tcW w:w="40" w:type="dxa"/>
            <w:vAlign w:val="bottom"/>
            <w:gridSpan w:val="2"/>
            <w:vMerge w:val="restart"/>
          </w:tcPr>
          <w:p>
            <w:pPr>
              <w:jc w:val="right"/>
              <w:spacing w:after="0"/>
              <w:rPr>
                <w:sz w:val="20"/>
                <w:szCs w:val="20"/>
                <w:color w:val="auto"/>
              </w:rPr>
            </w:pPr>
            <w:r>
              <w:rPr>
                <w:rFonts w:ascii="Arial" w:cs="Arial" w:eastAsia="Arial" w:hAnsi="Arial"/>
                <w:sz w:val="5"/>
                <w:szCs w:val="5"/>
                <w:color w:val="FF0000"/>
                <w:strike w:val="1"/>
                <w:w w:val="71"/>
              </w:rPr>
              <w:t>35</w:t>
            </w:r>
          </w:p>
        </w:tc>
        <w:tc>
          <w:tcPr>
            <w:tcW w:w="160" w:type="dxa"/>
            <w:vAlign w:val="bottom"/>
            <w:tcBorders>
              <w:top w:val="single" w:sz="8" w:color="0000FF"/>
            </w:tcBorders>
            <w:gridSpan w:val="3"/>
            <w:vMerge w:val="restart"/>
          </w:tcPr>
          <w:p>
            <w:pPr>
              <w:spacing w:after="0"/>
              <w:rPr>
                <w:sz w:val="20"/>
                <w:szCs w:val="20"/>
                <w:color w:val="auto"/>
              </w:rPr>
            </w:pPr>
            <w:r>
              <w:rPr>
                <w:rFonts w:ascii="Arial" w:cs="Arial" w:eastAsia="Arial" w:hAnsi="Arial"/>
                <w:sz w:val="15"/>
                <w:szCs w:val="15"/>
                <w:color w:val="0000FF"/>
                <w:w w:val="71"/>
              </w:rPr>
              <w:t>36</w:t>
            </w:r>
          </w:p>
        </w:tc>
        <w:tc>
          <w:tcPr>
            <w:tcW w:w="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FF0000"/>
            </w:tcBorders>
          </w:tcPr>
          <w:p>
            <w:pPr>
              <w:spacing w:after="0"/>
              <w:rPr>
                <w:sz w:val="4"/>
                <w:szCs w:val="4"/>
                <w:color w:val="auto"/>
              </w:rPr>
            </w:pPr>
          </w:p>
        </w:tc>
        <w:tc>
          <w:tcPr>
            <w:tcW w:w="100" w:type="dxa"/>
            <w:vAlign w:val="bottom"/>
            <w:tcBorders>
              <w:top w:val="single" w:sz="8" w:color="FF0000"/>
            </w:tcBorders>
          </w:tcPr>
          <w:p>
            <w:pPr>
              <w:spacing w:after="0"/>
              <w:rPr>
                <w:sz w:val="4"/>
                <w:szCs w:val="4"/>
                <w:color w:val="auto"/>
              </w:rPr>
            </w:pPr>
          </w:p>
        </w:tc>
        <w:tc>
          <w:tcPr>
            <w:tcW w:w="80" w:type="dxa"/>
            <w:vAlign w:val="bottom"/>
            <w:tcBorders>
              <w:top w:val="single" w:sz="8" w:color="FF0000"/>
            </w:tcBorders>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160" w:type="dxa"/>
            <w:vAlign w:val="bottom"/>
            <w:tcBorders>
              <w:top w:val="single" w:sz="8" w:color="0000FF"/>
            </w:tcBorders>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2.07</w:t>
            </w:r>
          </w:p>
        </w:tc>
        <w:tc>
          <w:tcPr>
            <w:tcW w:w="200" w:type="dxa"/>
            <w:vAlign w:val="bottom"/>
          </w:tcPr>
          <w:p>
            <w:pPr>
              <w:spacing w:after="0"/>
              <w:rPr>
                <w:sz w:val="17"/>
                <w:szCs w:val="17"/>
                <w:color w:val="auto"/>
              </w:rPr>
            </w:pPr>
          </w:p>
        </w:tc>
        <w:tc>
          <w:tcPr>
            <w:tcW w:w="1720" w:type="dxa"/>
            <w:vAlign w:val="bottom"/>
            <w:gridSpan w:val="13"/>
          </w:tcPr>
          <w:p>
            <w:pPr>
              <w:spacing w:after="0" w:line="196" w:lineRule="exact"/>
              <w:rPr>
                <w:sz w:val="20"/>
                <w:szCs w:val="20"/>
                <w:color w:val="auto"/>
              </w:rPr>
            </w:pPr>
            <w:r>
              <w:rPr>
                <w:rFonts w:ascii="Arial" w:cs="Arial" w:eastAsia="Arial" w:hAnsi="Arial"/>
                <w:sz w:val="20"/>
                <w:szCs w:val="20"/>
                <w:color w:val="auto"/>
                <w:w w:val="84"/>
              </w:rPr>
              <w:t>Funding of Borrowings</w:t>
            </w: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rPr>
              <w:t>39</w:t>
            </w:r>
          </w:p>
        </w:tc>
        <w:tc>
          <w:tcPr>
            <w:tcW w:w="260" w:type="dxa"/>
            <w:vAlign w:val="bottom"/>
            <w:tcBorders>
              <w:bottom w:val="single" w:sz="8" w:color="0000FF"/>
            </w:tcBorders>
            <w:gridSpan w:val="4"/>
          </w:tcPr>
          <w:p>
            <w:pPr>
              <w:jc w:val="right"/>
              <w:spacing w:after="0" w:line="196" w:lineRule="exact"/>
              <w:rPr>
                <w:sz w:val="20"/>
                <w:szCs w:val="20"/>
                <w:color w:val="auto"/>
              </w:rPr>
            </w:pPr>
            <w:r>
              <w:rPr>
                <w:rFonts w:ascii="Arial" w:cs="Arial" w:eastAsia="Arial" w:hAnsi="Arial"/>
                <w:sz w:val="20"/>
                <w:szCs w:val="20"/>
                <w:color w:val="0000FF"/>
              </w:rPr>
              <w:t>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7" w:lineRule="exact"/>
              <w:rPr>
                <w:sz w:val="20"/>
                <w:szCs w:val="20"/>
                <w:color w:val="auto"/>
              </w:rPr>
            </w:pPr>
            <w:r>
              <w:rPr>
                <w:rFonts w:ascii="Arial" w:cs="Arial" w:eastAsia="Arial" w:hAnsi="Arial"/>
                <w:sz w:val="20"/>
                <w:szCs w:val="20"/>
                <w:color w:val="auto"/>
                <w:w w:val="88"/>
              </w:rPr>
              <w:t>Section 2.08</w:t>
            </w:r>
          </w:p>
        </w:tc>
        <w:tc>
          <w:tcPr>
            <w:tcW w:w="200" w:type="dxa"/>
            <w:vAlign w:val="bottom"/>
          </w:tcPr>
          <w:p>
            <w:pPr>
              <w:spacing w:after="0"/>
              <w:rPr>
                <w:sz w:val="17"/>
                <w:szCs w:val="17"/>
                <w:color w:val="auto"/>
              </w:rPr>
            </w:pPr>
          </w:p>
        </w:tc>
        <w:tc>
          <w:tcPr>
            <w:tcW w:w="1420" w:type="dxa"/>
            <w:vAlign w:val="bottom"/>
            <w:gridSpan w:val="8"/>
          </w:tcPr>
          <w:p>
            <w:pPr>
              <w:spacing w:after="0" w:line="207" w:lineRule="exact"/>
              <w:rPr>
                <w:sz w:val="20"/>
                <w:szCs w:val="20"/>
                <w:color w:val="auto"/>
              </w:rPr>
            </w:pPr>
            <w:r>
              <w:rPr>
                <w:rFonts w:ascii="Arial" w:cs="Arial" w:eastAsia="Arial" w:hAnsi="Arial"/>
                <w:sz w:val="20"/>
                <w:szCs w:val="20"/>
                <w:color w:val="auto"/>
                <w:w w:val="91"/>
              </w:rPr>
              <w:t>Interest Elections</w:t>
            </w:r>
          </w:p>
        </w:tc>
        <w:tc>
          <w:tcPr>
            <w:tcW w:w="380" w:type="dxa"/>
            <w:vAlign w:val="bottom"/>
            <w:gridSpan w:val="9"/>
          </w:tcPr>
          <w:p>
            <w:pPr>
              <w:jc w:val="right"/>
              <w:spacing w:after="0" w:line="207" w:lineRule="exact"/>
              <w:rPr>
                <w:sz w:val="20"/>
                <w:szCs w:val="20"/>
                <w:color w:val="auto"/>
              </w:rPr>
            </w:pPr>
            <w:r>
              <w:rPr>
                <w:rFonts w:ascii="Arial" w:cs="Arial" w:eastAsia="Arial" w:hAnsi="Arial"/>
                <w:sz w:val="20"/>
                <w:szCs w:val="20"/>
                <w:color w:val="auto"/>
              </w:rPr>
              <w:t>40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80" w:type="dxa"/>
            <w:vAlign w:val="bottom"/>
          </w:tcPr>
          <w:p>
            <w:pPr>
              <w:jc w:val="center"/>
              <w:spacing w:after="0" w:line="216" w:lineRule="exact"/>
              <w:rPr>
                <w:sz w:val="20"/>
                <w:szCs w:val="20"/>
                <w:color w:val="auto"/>
              </w:rPr>
            </w:pPr>
            <w:r>
              <w:rPr>
                <w:rFonts w:ascii="Arial" w:cs="Arial" w:eastAsia="Arial" w:hAnsi="Arial"/>
                <w:sz w:val="20"/>
                <w:szCs w:val="20"/>
                <w:color w:val="auto"/>
                <w:w w:val="88"/>
              </w:rPr>
              <w:t>Section 2.09</w:t>
            </w:r>
          </w:p>
        </w:tc>
        <w:tc>
          <w:tcPr>
            <w:tcW w:w="4220" w:type="dxa"/>
            <w:vAlign w:val="bottom"/>
            <w:gridSpan w:val="51"/>
          </w:tcPr>
          <w:p>
            <w:pPr>
              <w:ind w:left="200"/>
              <w:spacing w:after="0" w:line="216" w:lineRule="exact"/>
              <w:rPr>
                <w:sz w:val="20"/>
                <w:szCs w:val="20"/>
                <w:color w:val="auto"/>
              </w:rPr>
            </w:pPr>
            <w:r>
              <w:rPr>
                <w:rFonts w:ascii="Arial" w:cs="Arial" w:eastAsia="Arial" w:hAnsi="Arial"/>
                <w:sz w:val="20"/>
                <w:szCs w:val="20"/>
                <w:color w:val="auto"/>
                <w:w w:val="94"/>
              </w:rPr>
              <w:t>Termination and Reduction of Commitments  41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6" w:lineRule="exact"/>
              <w:rPr>
                <w:sz w:val="20"/>
                <w:szCs w:val="20"/>
                <w:color w:val="auto"/>
              </w:rPr>
            </w:pPr>
            <w:r>
              <w:rPr>
                <w:rFonts w:ascii="Arial" w:cs="Arial" w:eastAsia="Arial" w:hAnsi="Arial"/>
                <w:sz w:val="20"/>
                <w:szCs w:val="20"/>
                <w:color w:val="auto"/>
                <w:w w:val="88"/>
              </w:rPr>
              <w:t>Section 2.10</w:t>
            </w:r>
          </w:p>
        </w:tc>
        <w:tc>
          <w:tcPr>
            <w:tcW w:w="200" w:type="dxa"/>
            <w:vAlign w:val="bottom"/>
          </w:tcPr>
          <w:p>
            <w:pPr>
              <w:spacing w:after="0"/>
              <w:rPr>
                <w:sz w:val="17"/>
                <w:szCs w:val="17"/>
                <w:color w:val="auto"/>
              </w:rPr>
            </w:pPr>
          </w:p>
        </w:tc>
        <w:tc>
          <w:tcPr>
            <w:tcW w:w="3180" w:type="dxa"/>
            <w:vAlign w:val="bottom"/>
            <w:gridSpan w:val="39"/>
          </w:tcPr>
          <w:p>
            <w:pPr>
              <w:spacing w:after="0" w:line="206" w:lineRule="exact"/>
              <w:rPr>
                <w:sz w:val="20"/>
                <w:szCs w:val="20"/>
                <w:color w:val="auto"/>
              </w:rPr>
            </w:pPr>
            <w:r>
              <w:rPr>
                <w:rFonts w:ascii="Arial" w:cs="Arial" w:eastAsia="Arial" w:hAnsi="Arial"/>
                <w:sz w:val="20"/>
                <w:szCs w:val="20"/>
                <w:color w:val="auto"/>
                <w:w w:val="90"/>
              </w:rPr>
              <w:t>Repayment of Loans; Evidence of Debt</w:t>
            </w:r>
          </w:p>
        </w:tc>
        <w:tc>
          <w:tcPr>
            <w:tcW w:w="100" w:type="dxa"/>
            <w:vAlign w:val="bottom"/>
          </w:tcPr>
          <w:p>
            <w:pPr>
              <w:spacing w:after="0"/>
              <w:rPr>
                <w:sz w:val="17"/>
                <w:szCs w:val="17"/>
                <w:color w:val="auto"/>
              </w:rPr>
            </w:pPr>
          </w:p>
        </w:tc>
        <w:tc>
          <w:tcPr>
            <w:tcW w:w="260" w:type="dxa"/>
            <w:vAlign w:val="bottom"/>
            <w:gridSpan w:val="4"/>
          </w:tcPr>
          <w:p>
            <w:pPr>
              <w:jc w:val="right"/>
              <w:spacing w:after="0" w:line="206" w:lineRule="exact"/>
              <w:rPr>
                <w:sz w:val="20"/>
                <w:szCs w:val="20"/>
                <w:color w:val="auto"/>
              </w:rPr>
            </w:pPr>
            <w:r>
              <w:rPr>
                <w:rFonts w:ascii="Arial" w:cs="Arial" w:eastAsia="Arial" w:hAnsi="Arial"/>
                <w:sz w:val="20"/>
                <w:szCs w:val="20"/>
                <w:color w:val="FF0000"/>
                <w:strike w:val="1"/>
              </w:rPr>
              <w:t>41</w:t>
            </w:r>
          </w:p>
        </w:tc>
        <w:tc>
          <w:tcPr>
            <w:tcW w:w="240" w:type="dxa"/>
            <w:vAlign w:val="bottom"/>
            <w:gridSpan w:val="5"/>
          </w:tcPr>
          <w:p>
            <w:pPr>
              <w:spacing w:after="0" w:line="206" w:lineRule="exact"/>
              <w:rPr>
                <w:sz w:val="20"/>
                <w:szCs w:val="20"/>
                <w:color w:val="auto"/>
              </w:rPr>
            </w:pPr>
            <w:r>
              <w:rPr>
                <w:rFonts w:ascii="Arial" w:cs="Arial" w:eastAsia="Arial" w:hAnsi="Arial"/>
                <w:sz w:val="20"/>
                <w:szCs w:val="20"/>
                <w:color w:val="0000FF"/>
                <w:w w:val="98"/>
              </w:rPr>
              <w:t>42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2.11</w:t>
            </w:r>
          </w:p>
        </w:tc>
        <w:tc>
          <w:tcPr>
            <w:tcW w:w="1940" w:type="dxa"/>
            <w:vAlign w:val="bottom"/>
            <w:gridSpan w:val="15"/>
          </w:tcPr>
          <w:p>
            <w:pPr>
              <w:ind w:left="200"/>
              <w:spacing w:after="0" w:line="196" w:lineRule="exact"/>
              <w:rPr>
                <w:sz w:val="20"/>
                <w:szCs w:val="20"/>
                <w:color w:val="auto"/>
              </w:rPr>
            </w:pPr>
            <w:r>
              <w:rPr>
                <w:rFonts w:ascii="Arial" w:cs="Arial" w:eastAsia="Arial" w:hAnsi="Arial"/>
                <w:sz w:val="20"/>
                <w:szCs w:val="20"/>
                <w:color w:val="auto"/>
                <w:w w:val="90"/>
              </w:rPr>
              <w:t>Prepayment of Loans</w:t>
            </w:r>
          </w:p>
        </w:tc>
        <w:tc>
          <w:tcPr>
            <w:tcW w:w="60" w:type="dxa"/>
            <w:vAlign w:val="bottom"/>
            <w:gridSpan w:val="3"/>
          </w:tcPr>
          <w:p>
            <w:pPr>
              <w:spacing w:after="0"/>
              <w:rPr>
                <w:sz w:val="17"/>
                <w:szCs w:val="17"/>
                <w:color w:val="auto"/>
              </w:rPr>
            </w:pPr>
          </w:p>
        </w:tc>
        <w:tc>
          <w:tcPr>
            <w:tcW w:w="28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rPr>
              <w:t>42</w:t>
            </w:r>
          </w:p>
        </w:tc>
        <w:tc>
          <w:tcPr>
            <w:tcW w:w="240" w:type="dxa"/>
            <w:vAlign w:val="bottom"/>
            <w:tcBorders>
              <w:bottom w:val="single" w:sz="8" w:color="0000FF"/>
            </w:tcBorders>
            <w:gridSpan w:val="2"/>
          </w:tcPr>
          <w:p>
            <w:pPr>
              <w:jc w:val="center"/>
              <w:spacing w:after="0" w:line="196" w:lineRule="exact"/>
              <w:rPr>
                <w:sz w:val="20"/>
                <w:szCs w:val="20"/>
                <w:color w:val="auto"/>
              </w:rPr>
            </w:pPr>
            <w:r>
              <w:rPr>
                <w:rFonts w:ascii="Arial" w:cs="Arial" w:eastAsia="Arial" w:hAnsi="Arial"/>
                <w:sz w:val="20"/>
                <w:szCs w:val="20"/>
                <w:color w:val="0000FF"/>
                <w:w w:val="89"/>
              </w:rPr>
              <w:t>43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gridSpan w:val="3"/>
          </w:tcPr>
          <w:p>
            <w:pPr>
              <w:spacing w:after="0"/>
              <w:rPr>
                <w:sz w:val="20"/>
                <w:szCs w:val="20"/>
                <w:color w:val="auto"/>
              </w:rPr>
            </w:pPr>
            <w:r>
              <w:rPr>
                <w:rFonts w:ascii="Arial" w:cs="Arial" w:eastAsia="Arial" w:hAnsi="Arial"/>
                <w:sz w:val="20"/>
                <w:szCs w:val="20"/>
                <w:color w:val="auto"/>
              </w:rPr>
              <w:t>Section 2.12</w:t>
            </w:r>
          </w:p>
        </w:tc>
        <w:tc>
          <w:tcPr>
            <w:tcW w:w="520" w:type="dxa"/>
            <w:vAlign w:val="bottom"/>
          </w:tcPr>
          <w:p>
            <w:pPr>
              <w:spacing w:after="0" w:line="207" w:lineRule="exact"/>
              <w:rPr>
                <w:sz w:val="20"/>
                <w:szCs w:val="20"/>
                <w:color w:val="auto"/>
              </w:rPr>
            </w:pPr>
            <w:r>
              <w:rPr>
                <w:rFonts w:ascii="Arial" w:cs="Arial" w:eastAsia="Arial" w:hAnsi="Arial"/>
                <w:sz w:val="20"/>
                <w:szCs w:val="20"/>
                <w:color w:val="auto"/>
              </w:rPr>
              <w:t>Fees</w:t>
            </w:r>
          </w:p>
        </w:tc>
        <w:tc>
          <w:tcPr>
            <w:tcW w:w="4920" w:type="dxa"/>
            <w:vAlign w:val="bottom"/>
            <w:gridSpan w:val="55"/>
          </w:tcPr>
          <w:p>
            <w:pPr>
              <w:ind w:left="40"/>
              <w:spacing w:after="0" w:line="207" w:lineRule="exact"/>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80" w:type="dxa"/>
            <w:vAlign w:val="bottom"/>
          </w:tcPr>
          <w:p>
            <w:pPr>
              <w:jc w:val="center"/>
              <w:spacing w:after="0" w:line="216" w:lineRule="exact"/>
              <w:rPr>
                <w:sz w:val="20"/>
                <w:szCs w:val="20"/>
                <w:color w:val="auto"/>
              </w:rPr>
            </w:pPr>
            <w:r>
              <w:rPr>
                <w:rFonts w:ascii="Arial" w:cs="Arial" w:eastAsia="Arial" w:hAnsi="Arial"/>
                <w:sz w:val="20"/>
                <w:szCs w:val="20"/>
                <w:color w:val="auto"/>
                <w:w w:val="88"/>
              </w:rPr>
              <w:t>Section 2.13</w:t>
            </w:r>
          </w:p>
        </w:tc>
        <w:tc>
          <w:tcPr>
            <w:tcW w:w="200" w:type="dxa"/>
            <w:vAlign w:val="bottom"/>
          </w:tcPr>
          <w:p>
            <w:pPr>
              <w:spacing w:after="0"/>
              <w:rPr>
                <w:sz w:val="18"/>
                <w:szCs w:val="18"/>
                <w:color w:val="auto"/>
              </w:rPr>
            </w:pPr>
          </w:p>
        </w:tc>
        <w:tc>
          <w:tcPr>
            <w:tcW w:w="1220" w:type="dxa"/>
            <w:vAlign w:val="bottom"/>
            <w:gridSpan w:val="6"/>
          </w:tcPr>
          <w:p>
            <w:pPr>
              <w:spacing w:after="0" w:line="216" w:lineRule="exact"/>
              <w:rPr>
                <w:sz w:val="20"/>
                <w:szCs w:val="20"/>
                <w:color w:val="auto"/>
              </w:rPr>
            </w:pPr>
            <w:r>
              <w:rPr>
                <w:rFonts w:ascii="Arial" w:cs="Arial" w:eastAsia="Arial" w:hAnsi="Arial"/>
                <w:sz w:val="20"/>
                <w:szCs w:val="20"/>
                <w:color w:val="auto"/>
              </w:rPr>
              <w:t>Interest  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6" w:lineRule="exact"/>
              <w:rPr>
                <w:sz w:val="20"/>
                <w:szCs w:val="20"/>
                <w:color w:val="auto"/>
              </w:rPr>
            </w:pPr>
            <w:r>
              <w:rPr>
                <w:rFonts w:ascii="Arial" w:cs="Arial" w:eastAsia="Arial" w:hAnsi="Arial"/>
                <w:sz w:val="20"/>
                <w:szCs w:val="20"/>
                <w:color w:val="auto"/>
                <w:w w:val="88"/>
              </w:rPr>
              <w:t>Section 2.14</w:t>
            </w:r>
          </w:p>
        </w:tc>
        <w:tc>
          <w:tcPr>
            <w:tcW w:w="2200" w:type="dxa"/>
            <w:vAlign w:val="bottom"/>
            <w:gridSpan w:val="21"/>
          </w:tcPr>
          <w:p>
            <w:pPr>
              <w:ind w:left="200"/>
              <w:spacing w:after="0" w:line="206" w:lineRule="exact"/>
              <w:rPr>
                <w:sz w:val="20"/>
                <w:szCs w:val="20"/>
                <w:color w:val="auto"/>
              </w:rPr>
            </w:pPr>
            <w:r>
              <w:rPr>
                <w:rFonts w:ascii="Arial" w:cs="Arial" w:eastAsia="Arial" w:hAnsi="Arial"/>
                <w:sz w:val="20"/>
                <w:szCs w:val="20"/>
                <w:color w:val="auto"/>
                <w:w w:val="89"/>
              </w:rPr>
              <w:t>Alternate Rate of Interest</w:t>
            </w:r>
          </w:p>
        </w:tc>
        <w:tc>
          <w:tcPr>
            <w:tcW w:w="200" w:type="dxa"/>
            <w:vAlign w:val="bottom"/>
            <w:gridSpan w:val="2"/>
          </w:tcPr>
          <w:p>
            <w:pPr>
              <w:spacing w:after="0"/>
              <w:rPr>
                <w:sz w:val="17"/>
                <w:szCs w:val="17"/>
                <w:color w:val="auto"/>
              </w:rPr>
            </w:pPr>
          </w:p>
        </w:tc>
        <w:tc>
          <w:tcPr>
            <w:tcW w:w="200" w:type="dxa"/>
            <w:vAlign w:val="bottom"/>
            <w:gridSpan w:val="3"/>
          </w:tcPr>
          <w:p>
            <w:pPr>
              <w:jc w:val="right"/>
              <w:spacing w:after="0" w:line="206" w:lineRule="exact"/>
              <w:rPr>
                <w:sz w:val="20"/>
                <w:szCs w:val="20"/>
                <w:color w:val="auto"/>
              </w:rPr>
            </w:pPr>
            <w:r>
              <w:rPr>
                <w:rFonts w:ascii="Arial" w:cs="Arial" w:eastAsia="Arial" w:hAnsi="Arial"/>
                <w:sz w:val="20"/>
                <w:szCs w:val="20"/>
                <w:color w:val="FF0000"/>
                <w:strike w:val="1"/>
                <w:w w:val="80"/>
              </w:rPr>
              <w:t>44</w:t>
            </w:r>
          </w:p>
        </w:tc>
        <w:tc>
          <w:tcPr>
            <w:tcW w:w="200" w:type="dxa"/>
            <w:vAlign w:val="bottom"/>
            <w:tcBorders>
              <w:bottom w:val="single" w:sz="8" w:color="0000FF"/>
            </w:tcBorders>
            <w:gridSpan w:val="4"/>
          </w:tcPr>
          <w:p>
            <w:pPr>
              <w:jc w:val="right"/>
              <w:spacing w:after="0" w:line="206" w:lineRule="exact"/>
              <w:rPr>
                <w:sz w:val="20"/>
                <w:szCs w:val="20"/>
                <w:color w:val="auto"/>
              </w:rPr>
            </w:pPr>
            <w:r>
              <w:rPr>
                <w:rFonts w:ascii="Arial" w:cs="Arial" w:eastAsia="Arial" w:hAnsi="Arial"/>
                <w:sz w:val="20"/>
                <w:szCs w:val="20"/>
                <w:color w:val="0000FF"/>
                <w:w w:val="80"/>
              </w:rPr>
              <w:t>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980" w:type="dxa"/>
            <w:vAlign w:val="bottom"/>
          </w:tcPr>
          <w:p>
            <w:pPr>
              <w:jc w:val="center"/>
              <w:spacing w:after="0" w:line="220" w:lineRule="exact"/>
              <w:rPr>
                <w:sz w:val="20"/>
                <w:szCs w:val="20"/>
                <w:color w:val="auto"/>
              </w:rPr>
            </w:pPr>
            <w:r>
              <w:rPr>
                <w:rFonts w:ascii="Arial" w:cs="Arial" w:eastAsia="Arial" w:hAnsi="Arial"/>
                <w:sz w:val="20"/>
                <w:szCs w:val="20"/>
                <w:color w:val="auto"/>
                <w:w w:val="88"/>
              </w:rPr>
              <w:t>Section 2.15</w:t>
            </w:r>
          </w:p>
        </w:tc>
        <w:tc>
          <w:tcPr>
            <w:tcW w:w="200" w:type="dxa"/>
            <w:vAlign w:val="bottom"/>
          </w:tcPr>
          <w:p>
            <w:pPr>
              <w:spacing w:after="0"/>
              <w:rPr>
                <w:sz w:val="19"/>
                <w:szCs w:val="19"/>
                <w:color w:val="auto"/>
              </w:rPr>
            </w:pPr>
          </w:p>
        </w:tc>
        <w:tc>
          <w:tcPr>
            <w:tcW w:w="1420" w:type="dxa"/>
            <w:vAlign w:val="bottom"/>
            <w:gridSpan w:val="8"/>
          </w:tcPr>
          <w:p>
            <w:pPr>
              <w:spacing w:after="0" w:line="220" w:lineRule="exact"/>
              <w:rPr>
                <w:sz w:val="20"/>
                <w:szCs w:val="20"/>
                <w:color w:val="auto"/>
              </w:rPr>
            </w:pPr>
            <w:r>
              <w:rPr>
                <w:rFonts w:ascii="Arial" w:cs="Arial" w:eastAsia="Arial" w:hAnsi="Arial"/>
                <w:sz w:val="20"/>
                <w:szCs w:val="20"/>
                <w:color w:val="auto"/>
                <w:w w:val="96"/>
              </w:rPr>
              <w:t>Increased Costs</w:t>
            </w:r>
          </w:p>
        </w:tc>
        <w:tc>
          <w:tcPr>
            <w:tcW w:w="280" w:type="dxa"/>
            <w:vAlign w:val="bottom"/>
            <w:gridSpan w:val="4"/>
          </w:tcPr>
          <w:p>
            <w:pPr>
              <w:jc w:val="right"/>
              <w:spacing w:after="0" w:line="220" w:lineRule="exact"/>
              <w:rPr>
                <w:sz w:val="20"/>
                <w:szCs w:val="20"/>
                <w:color w:val="auto"/>
              </w:rPr>
            </w:pPr>
            <w:r>
              <w:rPr>
                <w:rFonts w:ascii="Arial" w:cs="Arial" w:eastAsia="Arial" w:hAnsi="Arial"/>
                <w:sz w:val="20"/>
                <w:szCs w:val="20"/>
                <w:color w:val="auto"/>
                <w:w w:val="89"/>
              </w:rPr>
              <w:t>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6" w:lineRule="exact"/>
              <w:rPr>
                <w:sz w:val="20"/>
                <w:szCs w:val="20"/>
                <w:color w:val="auto"/>
              </w:rPr>
            </w:pPr>
            <w:r>
              <w:rPr>
                <w:rFonts w:ascii="Arial" w:cs="Arial" w:eastAsia="Arial" w:hAnsi="Arial"/>
                <w:sz w:val="20"/>
                <w:szCs w:val="20"/>
                <w:color w:val="auto"/>
                <w:w w:val="88"/>
              </w:rPr>
              <w:t>Section 2.16</w:t>
            </w:r>
          </w:p>
        </w:tc>
        <w:tc>
          <w:tcPr>
            <w:tcW w:w="200" w:type="dxa"/>
            <w:vAlign w:val="bottom"/>
          </w:tcPr>
          <w:p>
            <w:pPr>
              <w:spacing w:after="0"/>
              <w:rPr>
                <w:sz w:val="17"/>
                <w:szCs w:val="17"/>
                <w:color w:val="auto"/>
              </w:rPr>
            </w:pPr>
          </w:p>
        </w:tc>
        <w:tc>
          <w:tcPr>
            <w:tcW w:w="2000" w:type="dxa"/>
            <w:vAlign w:val="bottom"/>
            <w:gridSpan w:val="20"/>
          </w:tcPr>
          <w:p>
            <w:pPr>
              <w:spacing w:after="0" w:line="206" w:lineRule="exact"/>
              <w:rPr>
                <w:sz w:val="20"/>
                <w:szCs w:val="20"/>
                <w:color w:val="auto"/>
              </w:rPr>
            </w:pPr>
            <w:r>
              <w:rPr>
                <w:rFonts w:ascii="Arial" w:cs="Arial" w:eastAsia="Arial" w:hAnsi="Arial"/>
                <w:sz w:val="20"/>
                <w:szCs w:val="20"/>
                <w:color w:val="auto"/>
                <w:w w:val="88"/>
              </w:rPr>
              <w:t>Break Funding Payments</w:t>
            </w:r>
          </w:p>
        </w:tc>
        <w:tc>
          <w:tcPr>
            <w:tcW w:w="200" w:type="dxa"/>
            <w:vAlign w:val="bottom"/>
            <w:gridSpan w:val="2"/>
          </w:tcPr>
          <w:p>
            <w:pPr>
              <w:spacing w:after="0"/>
              <w:rPr>
                <w:sz w:val="17"/>
                <w:szCs w:val="17"/>
                <w:color w:val="auto"/>
              </w:rPr>
            </w:pPr>
          </w:p>
        </w:tc>
        <w:tc>
          <w:tcPr>
            <w:tcW w:w="200" w:type="dxa"/>
            <w:vAlign w:val="bottom"/>
            <w:gridSpan w:val="3"/>
          </w:tcPr>
          <w:p>
            <w:pPr>
              <w:jc w:val="right"/>
              <w:spacing w:after="0" w:line="206" w:lineRule="exact"/>
              <w:rPr>
                <w:sz w:val="20"/>
                <w:szCs w:val="20"/>
                <w:color w:val="auto"/>
              </w:rPr>
            </w:pPr>
            <w:r>
              <w:rPr>
                <w:rFonts w:ascii="Arial" w:cs="Arial" w:eastAsia="Arial" w:hAnsi="Arial"/>
                <w:sz w:val="20"/>
                <w:szCs w:val="20"/>
                <w:color w:val="FF0000"/>
                <w:strike w:val="1"/>
                <w:w w:val="80"/>
              </w:rPr>
              <w:t>46</w:t>
            </w:r>
          </w:p>
        </w:tc>
        <w:tc>
          <w:tcPr>
            <w:tcW w:w="200" w:type="dxa"/>
            <w:vAlign w:val="bottom"/>
            <w:tcBorders>
              <w:bottom w:val="single" w:sz="8" w:color="0000FF"/>
            </w:tcBorders>
            <w:gridSpan w:val="4"/>
          </w:tcPr>
          <w:p>
            <w:pPr>
              <w:jc w:val="right"/>
              <w:spacing w:after="0" w:line="206" w:lineRule="exact"/>
              <w:rPr>
                <w:sz w:val="20"/>
                <w:szCs w:val="20"/>
                <w:color w:val="auto"/>
              </w:rPr>
            </w:pPr>
            <w:r>
              <w:rPr>
                <w:rFonts w:ascii="Arial" w:cs="Arial" w:eastAsia="Arial" w:hAnsi="Arial"/>
                <w:sz w:val="20"/>
                <w:szCs w:val="20"/>
                <w:color w:val="0000FF"/>
                <w:w w:val="80"/>
              </w:rPr>
              <w:t>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7" w:lineRule="exact"/>
              <w:rPr>
                <w:sz w:val="20"/>
                <w:szCs w:val="20"/>
                <w:color w:val="auto"/>
              </w:rPr>
            </w:pPr>
            <w:r>
              <w:rPr>
                <w:rFonts w:ascii="Arial" w:cs="Arial" w:eastAsia="Arial" w:hAnsi="Arial"/>
                <w:sz w:val="20"/>
                <w:szCs w:val="20"/>
                <w:color w:val="auto"/>
                <w:w w:val="88"/>
              </w:rPr>
              <w:t>Section 2.17</w:t>
            </w:r>
          </w:p>
        </w:tc>
        <w:tc>
          <w:tcPr>
            <w:tcW w:w="200" w:type="dxa"/>
            <w:vAlign w:val="bottom"/>
          </w:tcPr>
          <w:p>
            <w:pPr>
              <w:spacing w:after="0"/>
              <w:rPr>
                <w:sz w:val="17"/>
                <w:szCs w:val="17"/>
                <w:color w:val="auto"/>
              </w:rPr>
            </w:pPr>
          </w:p>
        </w:tc>
        <w:tc>
          <w:tcPr>
            <w:tcW w:w="2000" w:type="dxa"/>
            <w:vAlign w:val="bottom"/>
            <w:gridSpan w:val="20"/>
          </w:tcPr>
          <w:p>
            <w:pPr>
              <w:spacing w:after="0" w:line="207" w:lineRule="exact"/>
              <w:rPr>
                <w:sz w:val="20"/>
                <w:szCs w:val="20"/>
                <w:color w:val="auto"/>
              </w:rPr>
            </w:pPr>
            <w:r>
              <w:rPr>
                <w:rFonts w:ascii="Arial" w:cs="Arial" w:eastAsia="Arial" w:hAnsi="Arial"/>
                <w:sz w:val="20"/>
                <w:szCs w:val="20"/>
                <w:color w:val="auto"/>
                <w:w w:val="90"/>
              </w:rPr>
              <w:t>Payments Free of Taxes</w:t>
            </w:r>
          </w:p>
        </w:tc>
        <w:tc>
          <w:tcPr>
            <w:tcW w:w="320" w:type="dxa"/>
            <w:vAlign w:val="bottom"/>
            <w:gridSpan w:val="3"/>
          </w:tcPr>
          <w:p>
            <w:pPr>
              <w:jc w:val="center"/>
              <w:spacing w:after="0" w:line="207" w:lineRule="exact"/>
              <w:rPr>
                <w:sz w:val="20"/>
                <w:szCs w:val="20"/>
                <w:color w:val="auto"/>
              </w:rPr>
            </w:pPr>
            <w:r>
              <w:rPr>
                <w:rFonts w:ascii="Arial" w:cs="Arial" w:eastAsia="Arial" w:hAnsi="Arial"/>
                <w:sz w:val="20"/>
                <w:szCs w:val="20"/>
                <w:color w:val="auto"/>
                <w:w w:val="89"/>
              </w:rPr>
              <w:t>47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6" w:lineRule="exact"/>
              <w:rPr>
                <w:sz w:val="20"/>
                <w:szCs w:val="20"/>
                <w:color w:val="auto"/>
              </w:rPr>
            </w:pPr>
            <w:r>
              <w:rPr>
                <w:rFonts w:ascii="Arial" w:cs="Arial" w:eastAsia="Arial" w:hAnsi="Arial"/>
                <w:sz w:val="20"/>
                <w:szCs w:val="20"/>
                <w:color w:val="auto"/>
                <w:w w:val="88"/>
              </w:rPr>
              <w:t>Section 2.18</w:t>
            </w:r>
          </w:p>
        </w:tc>
        <w:tc>
          <w:tcPr>
            <w:tcW w:w="200" w:type="dxa"/>
            <w:vAlign w:val="bottom"/>
          </w:tcPr>
          <w:p>
            <w:pPr>
              <w:spacing w:after="0"/>
              <w:rPr>
                <w:sz w:val="17"/>
                <w:szCs w:val="17"/>
                <w:color w:val="auto"/>
              </w:rPr>
            </w:pPr>
          </w:p>
        </w:tc>
        <w:tc>
          <w:tcPr>
            <w:tcW w:w="4860" w:type="dxa"/>
            <w:vAlign w:val="bottom"/>
            <w:gridSpan w:val="54"/>
          </w:tcPr>
          <w:p>
            <w:pPr>
              <w:spacing w:after="0" w:line="206" w:lineRule="exact"/>
              <w:rPr>
                <w:sz w:val="20"/>
                <w:szCs w:val="20"/>
                <w:color w:val="auto"/>
              </w:rPr>
            </w:pPr>
            <w:r>
              <w:rPr>
                <w:rFonts w:ascii="Arial" w:cs="Arial" w:eastAsia="Arial" w:hAnsi="Arial"/>
                <w:sz w:val="20"/>
                <w:szCs w:val="20"/>
                <w:color w:val="auto"/>
                <w:w w:val="89"/>
              </w:rPr>
              <w:t>Payments Generally; Pro Rata Treatment; Sharing of Set-offs</w:t>
            </w:r>
          </w:p>
        </w:tc>
        <w:tc>
          <w:tcPr>
            <w:tcW w:w="400" w:type="dxa"/>
            <w:vAlign w:val="bottom"/>
          </w:tcPr>
          <w:p>
            <w:pPr>
              <w:jc w:val="right"/>
              <w:spacing w:after="0" w:line="206" w:lineRule="exact"/>
              <w:rPr>
                <w:sz w:val="20"/>
                <w:szCs w:val="20"/>
                <w:color w:val="auto"/>
              </w:rPr>
            </w:pPr>
            <w:r>
              <w:rPr>
                <w:rFonts w:ascii="Arial" w:cs="Arial" w:eastAsia="Arial" w:hAnsi="Arial"/>
                <w:sz w:val="20"/>
                <w:szCs w:val="20"/>
                <w:color w:val="FF0000"/>
                <w:strike w:val="1"/>
              </w:rPr>
              <w:t>50</w:t>
            </w:r>
          </w:p>
        </w:tc>
        <w:tc>
          <w:tcPr>
            <w:tcW w:w="180" w:type="dxa"/>
            <w:vAlign w:val="bottom"/>
            <w:tcBorders>
              <w:bottom w:val="single" w:sz="8" w:color="0000FF"/>
            </w:tcBorders>
          </w:tcPr>
          <w:p>
            <w:pPr>
              <w:jc w:val="right"/>
              <w:spacing w:after="0" w:line="206" w:lineRule="exact"/>
              <w:rPr>
                <w:sz w:val="20"/>
                <w:szCs w:val="20"/>
                <w:color w:val="auto"/>
              </w:rPr>
            </w:pPr>
            <w:r>
              <w:rPr>
                <w:rFonts w:ascii="Arial" w:cs="Arial" w:eastAsia="Arial" w:hAnsi="Arial"/>
                <w:sz w:val="20"/>
                <w:szCs w:val="20"/>
                <w:color w:val="0000FF"/>
                <w:w w:val="71"/>
              </w:rPr>
              <w:t>51</w:t>
            </w: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7" w:lineRule="exact"/>
              <w:rPr>
                <w:sz w:val="20"/>
                <w:szCs w:val="20"/>
                <w:color w:val="auto"/>
              </w:rPr>
            </w:pPr>
            <w:r>
              <w:rPr>
                <w:rFonts w:ascii="Arial" w:cs="Arial" w:eastAsia="Arial" w:hAnsi="Arial"/>
                <w:sz w:val="20"/>
                <w:szCs w:val="20"/>
                <w:color w:val="auto"/>
                <w:w w:val="88"/>
              </w:rPr>
              <w:t>Section 2.19</w:t>
            </w:r>
          </w:p>
        </w:tc>
        <w:tc>
          <w:tcPr>
            <w:tcW w:w="200" w:type="dxa"/>
            <w:vAlign w:val="bottom"/>
          </w:tcPr>
          <w:p>
            <w:pPr>
              <w:spacing w:after="0"/>
              <w:rPr>
                <w:sz w:val="17"/>
                <w:szCs w:val="17"/>
                <w:color w:val="auto"/>
              </w:rPr>
            </w:pPr>
          </w:p>
        </w:tc>
        <w:tc>
          <w:tcPr>
            <w:tcW w:w="4020" w:type="dxa"/>
            <w:vAlign w:val="bottom"/>
            <w:gridSpan w:val="50"/>
          </w:tcPr>
          <w:p>
            <w:pPr>
              <w:spacing w:after="0" w:line="207" w:lineRule="exact"/>
              <w:rPr>
                <w:sz w:val="20"/>
                <w:szCs w:val="20"/>
                <w:color w:val="auto"/>
              </w:rPr>
            </w:pPr>
            <w:r>
              <w:rPr>
                <w:rFonts w:ascii="Arial" w:cs="Arial" w:eastAsia="Arial" w:hAnsi="Arial"/>
                <w:sz w:val="20"/>
                <w:szCs w:val="20"/>
                <w:color w:val="auto"/>
                <w:w w:val="95"/>
              </w:rPr>
              <w:t>Mitigation Obligations; Replacement of Lenders</w:t>
            </w:r>
          </w:p>
        </w:tc>
        <w:tc>
          <w:tcPr>
            <w:tcW w:w="380" w:type="dxa"/>
            <w:vAlign w:val="bottom"/>
          </w:tcPr>
          <w:p>
            <w:pPr>
              <w:jc w:val="right"/>
              <w:ind w:right="61"/>
              <w:spacing w:after="0" w:line="207" w:lineRule="exact"/>
              <w:rPr>
                <w:sz w:val="20"/>
                <w:szCs w:val="20"/>
                <w:color w:val="auto"/>
              </w:rPr>
            </w:pPr>
            <w:r>
              <w:rPr>
                <w:rFonts w:ascii="Arial" w:cs="Arial" w:eastAsia="Arial" w:hAnsi="Arial"/>
                <w:sz w:val="20"/>
                <w:szCs w:val="20"/>
                <w:color w:val="auto"/>
                <w:w w:val="89"/>
              </w:rPr>
              <w:t>52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80" w:type="dxa"/>
            <w:vAlign w:val="bottom"/>
          </w:tcPr>
          <w:p>
            <w:pPr>
              <w:jc w:val="center"/>
              <w:spacing w:after="0" w:line="216" w:lineRule="exact"/>
              <w:rPr>
                <w:sz w:val="20"/>
                <w:szCs w:val="20"/>
                <w:color w:val="auto"/>
              </w:rPr>
            </w:pPr>
            <w:r>
              <w:rPr>
                <w:rFonts w:ascii="Arial" w:cs="Arial" w:eastAsia="Arial" w:hAnsi="Arial"/>
                <w:sz w:val="20"/>
                <w:szCs w:val="20"/>
                <w:color w:val="auto"/>
                <w:w w:val="88"/>
              </w:rPr>
              <w:t>Section 2.20</w:t>
            </w:r>
          </w:p>
        </w:tc>
        <w:tc>
          <w:tcPr>
            <w:tcW w:w="200" w:type="dxa"/>
            <w:vAlign w:val="bottom"/>
          </w:tcPr>
          <w:p>
            <w:pPr>
              <w:spacing w:after="0"/>
              <w:rPr>
                <w:sz w:val="18"/>
                <w:szCs w:val="18"/>
                <w:color w:val="auto"/>
              </w:rPr>
            </w:pPr>
          </w:p>
        </w:tc>
        <w:tc>
          <w:tcPr>
            <w:tcW w:w="1740" w:type="dxa"/>
            <w:vAlign w:val="bottom"/>
            <w:gridSpan w:val="14"/>
          </w:tcPr>
          <w:p>
            <w:pPr>
              <w:spacing w:after="0" w:line="216" w:lineRule="exact"/>
              <w:rPr>
                <w:sz w:val="20"/>
                <w:szCs w:val="20"/>
                <w:color w:val="auto"/>
              </w:rPr>
            </w:pPr>
            <w:r>
              <w:rPr>
                <w:rFonts w:ascii="Arial" w:cs="Arial" w:eastAsia="Arial" w:hAnsi="Arial"/>
                <w:sz w:val="20"/>
                <w:szCs w:val="20"/>
                <w:color w:val="auto"/>
              </w:rPr>
              <w:t>Defaulting Lenders</w:t>
            </w:r>
          </w:p>
        </w:tc>
        <w:tc>
          <w:tcPr>
            <w:tcW w:w="200" w:type="dxa"/>
            <w:vAlign w:val="bottom"/>
            <w:gridSpan w:val="5"/>
          </w:tcPr>
          <w:p>
            <w:pPr>
              <w:spacing w:after="0" w:line="216" w:lineRule="exact"/>
              <w:rPr>
                <w:sz w:val="20"/>
                <w:szCs w:val="20"/>
                <w:color w:val="auto"/>
              </w:rPr>
            </w:pPr>
            <w:r>
              <w:rPr>
                <w:rFonts w:ascii="Arial" w:cs="Arial" w:eastAsia="Arial" w:hAnsi="Arial"/>
                <w:sz w:val="20"/>
                <w:szCs w:val="20"/>
                <w:color w:val="auto"/>
                <w:w w:val="80"/>
              </w:rPr>
              <w:t>53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80" w:type="dxa"/>
            <w:vAlign w:val="bottom"/>
          </w:tcPr>
          <w:p>
            <w:pPr>
              <w:jc w:val="center"/>
              <w:spacing w:after="0" w:line="216" w:lineRule="exact"/>
              <w:rPr>
                <w:sz w:val="20"/>
                <w:szCs w:val="20"/>
                <w:color w:val="auto"/>
              </w:rPr>
            </w:pPr>
            <w:r>
              <w:rPr>
                <w:rFonts w:ascii="Arial" w:cs="Arial" w:eastAsia="Arial" w:hAnsi="Arial"/>
                <w:sz w:val="20"/>
                <w:szCs w:val="20"/>
                <w:color w:val="auto"/>
                <w:w w:val="88"/>
              </w:rPr>
              <w:t>Section 2.21</w:t>
            </w:r>
          </w:p>
        </w:tc>
        <w:tc>
          <w:tcPr>
            <w:tcW w:w="200" w:type="dxa"/>
            <w:vAlign w:val="bottom"/>
          </w:tcPr>
          <w:p>
            <w:pPr>
              <w:spacing w:after="0"/>
              <w:rPr>
                <w:sz w:val="18"/>
                <w:szCs w:val="18"/>
                <w:color w:val="auto"/>
              </w:rPr>
            </w:pPr>
          </w:p>
        </w:tc>
        <w:tc>
          <w:tcPr>
            <w:tcW w:w="4020" w:type="dxa"/>
            <w:vAlign w:val="bottom"/>
            <w:gridSpan w:val="50"/>
          </w:tcPr>
          <w:p>
            <w:pPr>
              <w:spacing w:after="0" w:line="216" w:lineRule="exact"/>
              <w:rPr>
                <w:sz w:val="20"/>
                <w:szCs w:val="20"/>
                <w:color w:val="auto"/>
              </w:rPr>
            </w:pPr>
            <w:r>
              <w:rPr>
                <w:rFonts w:ascii="Arial" w:cs="Arial" w:eastAsia="Arial" w:hAnsi="Arial"/>
                <w:sz w:val="20"/>
                <w:szCs w:val="20"/>
                <w:color w:val="auto"/>
                <w:w w:val="97"/>
              </w:rPr>
              <w:t>Designation of Additional Revolving Borrowers</w:t>
            </w:r>
          </w:p>
        </w:tc>
        <w:tc>
          <w:tcPr>
            <w:tcW w:w="380" w:type="dxa"/>
            <w:vAlign w:val="bottom"/>
          </w:tcPr>
          <w:p>
            <w:pPr>
              <w:jc w:val="right"/>
              <w:ind w:right="81"/>
              <w:spacing w:after="0" w:line="216" w:lineRule="exact"/>
              <w:rPr>
                <w:sz w:val="20"/>
                <w:szCs w:val="20"/>
                <w:color w:val="auto"/>
              </w:rPr>
            </w:pPr>
            <w:r>
              <w:rPr>
                <w:rFonts w:ascii="Arial" w:cs="Arial" w:eastAsia="Arial" w:hAnsi="Arial"/>
                <w:sz w:val="20"/>
                <w:szCs w:val="20"/>
                <w:color w:val="auto"/>
                <w:w w:val="80"/>
              </w:rPr>
              <w:t>55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980" w:type="dxa"/>
            <w:vAlign w:val="bottom"/>
          </w:tcPr>
          <w:p>
            <w:pPr>
              <w:jc w:val="center"/>
              <w:spacing w:after="0" w:line="206" w:lineRule="exact"/>
              <w:rPr>
                <w:sz w:val="20"/>
                <w:szCs w:val="20"/>
                <w:color w:val="auto"/>
              </w:rPr>
            </w:pPr>
            <w:r>
              <w:rPr>
                <w:rFonts w:ascii="Arial" w:cs="Arial" w:eastAsia="Arial" w:hAnsi="Arial"/>
                <w:sz w:val="20"/>
                <w:szCs w:val="20"/>
                <w:color w:val="auto"/>
                <w:w w:val="88"/>
              </w:rPr>
              <w:t>Section 2.22</w:t>
            </w:r>
          </w:p>
        </w:tc>
        <w:tc>
          <w:tcPr>
            <w:tcW w:w="200" w:type="dxa"/>
            <w:vAlign w:val="bottom"/>
          </w:tcPr>
          <w:p>
            <w:pPr>
              <w:spacing w:after="0"/>
              <w:rPr>
                <w:sz w:val="17"/>
                <w:szCs w:val="17"/>
                <w:color w:val="auto"/>
              </w:rPr>
            </w:pPr>
          </w:p>
        </w:tc>
        <w:tc>
          <w:tcPr>
            <w:tcW w:w="2380" w:type="dxa"/>
            <w:vAlign w:val="bottom"/>
            <w:gridSpan w:val="24"/>
          </w:tcPr>
          <w:p>
            <w:pPr>
              <w:spacing w:after="0" w:line="206" w:lineRule="exact"/>
              <w:rPr>
                <w:sz w:val="20"/>
                <w:szCs w:val="20"/>
                <w:color w:val="auto"/>
              </w:rPr>
            </w:pPr>
            <w:r>
              <w:rPr>
                <w:rFonts w:ascii="Arial" w:cs="Arial" w:eastAsia="Arial" w:hAnsi="Arial"/>
                <w:sz w:val="20"/>
                <w:szCs w:val="20"/>
                <w:color w:val="auto"/>
                <w:w w:val="96"/>
              </w:rPr>
              <w:t>Extension of Maturity Dates</w:t>
            </w:r>
          </w:p>
        </w:tc>
        <w:tc>
          <w:tcPr>
            <w:tcW w:w="20" w:type="dxa"/>
            <w:vAlign w:val="bottom"/>
          </w:tcPr>
          <w:p>
            <w:pPr>
              <w:spacing w:after="0"/>
              <w:rPr>
                <w:sz w:val="17"/>
                <w:szCs w:val="17"/>
                <w:color w:val="auto"/>
              </w:rPr>
            </w:pPr>
          </w:p>
        </w:tc>
        <w:tc>
          <w:tcPr>
            <w:tcW w:w="240" w:type="dxa"/>
            <w:vAlign w:val="bottom"/>
            <w:gridSpan w:val="6"/>
          </w:tcPr>
          <w:p>
            <w:pPr>
              <w:jc w:val="right"/>
              <w:spacing w:after="0" w:line="206" w:lineRule="exact"/>
              <w:rPr>
                <w:sz w:val="20"/>
                <w:szCs w:val="20"/>
                <w:color w:val="auto"/>
              </w:rPr>
            </w:pPr>
            <w:r>
              <w:rPr>
                <w:rFonts w:ascii="Arial" w:cs="Arial" w:eastAsia="Arial" w:hAnsi="Arial"/>
                <w:sz w:val="20"/>
                <w:szCs w:val="20"/>
                <w:color w:val="FF0000"/>
                <w:strike w:val="1"/>
                <w:w w:val="98"/>
              </w:rPr>
              <w:t>56</w:t>
            </w:r>
          </w:p>
        </w:tc>
        <w:tc>
          <w:tcPr>
            <w:tcW w:w="200" w:type="dxa"/>
            <w:vAlign w:val="bottom"/>
            <w:tcBorders>
              <w:bottom w:val="single" w:sz="8" w:color="0000FF"/>
            </w:tcBorders>
            <w:gridSpan w:val="4"/>
          </w:tcPr>
          <w:p>
            <w:pPr>
              <w:spacing w:after="0" w:line="206" w:lineRule="exact"/>
              <w:rPr>
                <w:sz w:val="20"/>
                <w:szCs w:val="20"/>
                <w:color w:val="auto"/>
              </w:rPr>
            </w:pPr>
            <w:r>
              <w:rPr>
                <w:rFonts w:ascii="Arial" w:cs="Arial" w:eastAsia="Arial" w:hAnsi="Arial"/>
                <w:sz w:val="20"/>
                <w:szCs w:val="20"/>
                <w:color w:val="0000FF"/>
                <w:w w:val="80"/>
              </w:rPr>
              <w:t>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980" w:type="dxa"/>
            <w:vAlign w:val="bottom"/>
          </w:tcPr>
          <w:p>
            <w:pPr>
              <w:jc w:val="center"/>
              <w:spacing w:after="0" w:line="183" w:lineRule="exact"/>
              <w:rPr>
                <w:sz w:val="20"/>
                <w:szCs w:val="20"/>
                <w:color w:val="auto"/>
              </w:rPr>
            </w:pPr>
            <w:r>
              <w:rPr>
                <w:rFonts w:ascii="Arial" w:cs="Arial" w:eastAsia="Arial" w:hAnsi="Arial"/>
                <w:sz w:val="20"/>
                <w:szCs w:val="20"/>
                <w:color w:val="auto"/>
                <w:w w:val="88"/>
              </w:rPr>
              <w:t>Section 2.23</w:t>
            </w:r>
          </w:p>
        </w:tc>
        <w:tc>
          <w:tcPr>
            <w:tcW w:w="200" w:type="dxa"/>
            <w:vAlign w:val="bottom"/>
          </w:tcPr>
          <w:p>
            <w:pPr>
              <w:spacing w:after="0"/>
              <w:rPr>
                <w:sz w:val="15"/>
                <w:szCs w:val="15"/>
                <w:color w:val="auto"/>
              </w:rPr>
            </w:pPr>
          </w:p>
        </w:tc>
        <w:tc>
          <w:tcPr>
            <w:tcW w:w="740" w:type="dxa"/>
            <w:vAlign w:val="bottom"/>
            <w:gridSpan w:val="2"/>
          </w:tcPr>
          <w:p>
            <w:pPr>
              <w:spacing w:after="0" w:line="183" w:lineRule="exact"/>
              <w:rPr>
                <w:sz w:val="20"/>
                <w:szCs w:val="20"/>
                <w:color w:val="auto"/>
              </w:rPr>
            </w:pPr>
            <w:r>
              <w:rPr>
                <w:rFonts w:ascii="Arial" w:cs="Arial" w:eastAsia="Arial" w:hAnsi="Arial"/>
                <w:sz w:val="20"/>
                <w:szCs w:val="20"/>
                <w:color w:val="FF0000"/>
                <w:strike w:val="1"/>
                <w:w w:val="98"/>
              </w:rPr>
              <w:t>Effect of</w:t>
            </w:r>
          </w:p>
        </w:tc>
        <w:tc>
          <w:tcPr>
            <w:tcW w:w="980" w:type="dxa"/>
            <w:vAlign w:val="bottom"/>
            <w:gridSpan w:val="11"/>
          </w:tcPr>
          <w:p>
            <w:pPr>
              <w:jc w:val="right"/>
              <w:ind w:right="60"/>
              <w:spacing w:after="0" w:line="183" w:lineRule="exact"/>
              <w:rPr>
                <w:sz w:val="20"/>
                <w:szCs w:val="20"/>
                <w:color w:val="auto"/>
              </w:rPr>
            </w:pPr>
            <w:r>
              <w:rPr>
                <w:rFonts w:ascii="Arial" w:cs="Arial" w:eastAsia="Arial" w:hAnsi="Arial"/>
                <w:sz w:val="20"/>
                <w:szCs w:val="20"/>
                <w:color w:val="auto"/>
                <w:w w:val="88"/>
              </w:rPr>
              <w:t>Benchmark</w:t>
            </w:r>
          </w:p>
        </w:tc>
        <w:tc>
          <w:tcPr>
            <w:tcW w:w="920" w:type="dxa"/>
            <w:vAlign w:val="bottom"/>
            <w:gridSpan w:val="18"/>
          </w:tcPr>
          <w:p>
            <w:pPr>
              <w:spacing w:after="0" w:line="183" w:lineRule="exact"/>
              <w:rPr>
                <w:sz w:val="20"/>
                <w:szCs w:val="20"/>
                <w:color w:val="auto"/>
              </w:rPr>
            </w:pPr>
            <w:r>
              <w:rPr>
                <w:rFonts w:ascii="Arial" w:cs="Arial" w:eastAsia="Arial" w:hAnsi="Arial"/>
                <w:sz w:val="20"/>
                <w:szCs w:val="20"/>
                <w:color w:val="FF0000"/>
                <w:strike w:val="1"/>
              </w:rPr>
              <w:t>Transition</w:t>
            </w:r>
          </w:p>
        </w:tc>
        <w:tc>
          <w:tcPr>
            <w:tcW w:w="380" w:type="dxa"/>
            <w:vAlign w:val="bottom"/>
            <w:gridSpan w:val="6"/>
          </w:tcPr>
          <w:p>
            <w:pPr>
              <w:spacing w:after="0" w:line="183" w:lineRule="exact"/>
              <w:rPr>
                <w:sz w:val="20"/>
                <w:szCs w:val="20"/>
                <w:color w:val="auto"/>
              </w:rPr>
            </w:pPr>
            <w:r>
              <w:rPr>
                <w:rFonts w:ascii="Arial" w:cs="Arial" w:eastAsia="Arial" w:hAnsi="Arial"/>
                <w:sz w:val="20"/>
                <w:szCs w:val="20"/>
                <w:color w:val="FF0000"/>
                <w:strike w:val="1"/>
                <w:w w:val="70"/>
              </w:rPr>
              <w:t>Event</w:t>
            </w:r>
          </w:p>
        </w:tc>
        <w:tc>
          <w:tcPr>
            <w:tcW w:w="1840" w:type="dxa"/>
            <w:vAlign w:val="bottom"/>
            <w:gridSpan w:val="17"/>
          </w:tcPr>
          <w:p>
            <w:pPr>
              <w:spacing w:after="0" w:line="183" w:lineRule="exact"/>
              <w:rPr>
                <w:sz w:val="20"/>
                <w:szCs w:val="20"/>
                <w:color w:val="auto"/>
              </w:rPr>
            </w:pPr>
            <w:r>
              <w:rPr>
                <w:rFonts w:ascii="Arial" w:cs="Arial" w:eastAsia="Arial" w:hAnsi="Arial"/>
                <w:sz w:val="20"/>
                <w:szCs w:val="20"/>
                <w:color w:val="0000FF"/>
                <w:w w:val="98"/>
              </w:rPr>
              <w:t>Replacement Setting</w:t>
            </w:r>
          </w:p>
        </w:tc>
        <w:tc>
          <w:tcPr>
            <w:tcW w:w="400" w:type="dxa"/>
            <w:vAlign w:val="bottom"/>
          </w:tcPr>
          <w:p>
            <w:pPr>
              <w:jc w:val="right"/>
              <w:ind w:right="101"/>
              <w:spacing w:after="0" w:line="183" w:lineRule="exact"/>
              <w:rPr>
                <w:sz w:val="20"/>
                <w:szCs w:val="20"/>
                <w:color w:val="auto"/>
              </w:rPr>
            </w:pPr>
            <w:r>
              <w:rPr>
                <w:rFonts w:ascii="Arial" w:cs="Arial" w:eastAsia="Arial" w:hAnsi="Arial"/>
                <w:sz w:val="20"/>
                <w:szCs w:val="20"/>
                <w:color w:val="auto"/>
                <w:w w:val="80"/>
              </w:rPr>
              <w:t>58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4860" w:type="dxa"/>
            <w:vAlign w:val="bottom"/>
            <w:gridSpan w:val="40"/>
          </w:tcPr>
          <w:p>
            <w:pPr>
              <w:spacing w:after="0"/>
              <w:rPr>
                <w:sz w:val="20"/>
                <w:szCs w:val="20"/>
                <w:color w:val="auto"/>
              </w:rPr>
            </w:pPr>
            <w:r>
              <w:rPr>
                <w:rFonts w:ascii="Arial" w:cs="Arial" w:eastAsia="Arial" w:hAnsi="Arial"/>
                <w:sz w:val="20"/>
                <w:szCs w:val="20"/>
                <w:color w:val="auto"/>
                <w:w w:val="97"/>
              </w:rPr>
              <w:t>ARTICLE III REPRESENTATIONS AND WARRANTIES</w:t>
            </w: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20"/>
                <w:szCs w:val="20"/>
                <w:color w:val="FF0000"/>
                <w:strike w:val="1"/>
                <w:w w:val="80"/>
              </w:rPr>
              <w:t>61</w:t>
            </w:r>
          </w:p>
        </w:tc>
        <w:tc>
          <w:tcPr>
            <w:tcW w:w="240" w:type="dxa"/>
            <w:vAlign w:val="bottom"/>
            <w:tcBorders>
              <w:top w:val="single" w:sz="8" w:color="0000FF"/>
            </w:tcBorders>
            <w:gridSpan w:val="3"/>
          </w:tcPr>
          <w:p>
            <w:pPr>
              <w:jc w:val="right"/>
              <w:ind w:right="40"/>
              <w:spacing w:after="0"/>
              <w:rPr>
                <w:sz w:val="20"/>
                <w:szCs w:val="20"/>
                <w:color w:val="auto"/>
              </w:rPr>
            </w:pPr>
            <w:r>
              <w:rPr>
                <w:rFonts w:ascii="Arial" w:cs="Arial" w:eastAsia="Arial" w:hAnsi="Arial"/>
                <w:sz w:val="20"/>
                <w:szCs w:val="20"/>
                <w:color w:val="0000FF"/>
                <w:w w:val="80"/>
              </w:rPr>
              <w:t>66</w:t>
            </w:r>
          </w:p>
        </w:tc>
        <w:tc>
          <w:tcPr>
            <w:tcW w:w="60" w:type="dxa"/>
            <w:vAlign w:val="bottom"/>
            <w:tcBorders>
              <w:top w:val="single" w:sz="8" w:color="0000FF"/>
            </w:tcBorders>
            <w:gridSpan w:val="2"/>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gridSpan w:val="2"/>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20"/>
                <w:szCs w:val="20"/>
                <w:color w:val="auto"/>
                <w:w w:val="88"/>
              </w:rPr>
              <w:t>Section 3.01</w:t>
            </w:r>
          </w:p>
        </w:tc>
        <w:tc>
          <w:tcPr>
            <w:tcW w:w="200" w:type="dxa"/>
            <w:vAlign w:val="bottom"/>
          </w:tcPr>
          <w:p>
            <w:pPr>
              <w:spacing w:after="0"/>
              <w:rPr>
                <w:sz w:val="24"/>
                <w:szCs w:val="24"/>
                <w:color w:val="auto"/>
              </w:rPr>
            </w:pPr>
          </w:p>
        </w:tc>
        <w:tc>
          <w:tcPr>
            <w:tcW w:w="1740" w:type="dxa"/>
            <w:vAlign w:val="bottom"/>
            <w:gridSpan w:val="14"/>
          </w:tcPr>
          <w:p>
            <w:pPr>
              <w:spacing w:after="0"/>
              <w:rPr>
                <w:sz w:val="20"/>
                <w:szCs w:val="20"/>
                <w:color w:val="auto"/>
              </w:rPr>
            </w:pPr>
            <w:r>
              <w:rPr>
                <w:rFonts w:ascii="Arial" w:cs="Arial" w:eastAsia="Arial" w:hAnsi="Arial"/>
                <w:sz w:val="20"/>
                <w:szCs w:val="20"/>
                <w:color w:val="auto"/>
                <w:w w:val="89"/>
              </w:rPr>
              <w:t>Organization; Powers</w:t>
            </w:r>
          </w:p>
        </w:tc>
        <w:tc>
          <w:tcPr>
            <w:tcW w:w="180" w:type="dxa"/>
            <w:vAlign w:val="bottom"/>
            <w:gridSpan w:val="4"/>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61</w:t>
            </w:r>
          </w:p>
        </w:tc>
        <w:tc>
          <w:tcPr>
            <w:tcW w:w="12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3.02</w:t>
            </w:r>
          </w:p>
        </w:tc>
        <w:tc>
          <w:tcPr>
            <w:tcW w:w="2400" w:type="dxa"/>
            <w:vAlign w:val="bottom"/>
            <w:gridSpan w:val="23"/>
          </w:tcPr>
          <w:p>
            <w:pPr>
              <w:ind w:left="200"/>
              <w:spacing w:after="0" w:line="196" w:lineRule="exact"/>
              <w:rPr>
                <w:sz w:val="20"/>
                <w:szCs w:val="20"/>
                <w:color w:val="auto"/>
              </w:rPr>
            </w:pPr>
            <w:r>
              <w:rPr>
                <w:rFonts w:ascii="Arial" w:cs="Arial" w:eastAsia="Arial" w:hAnsi="Arial"/>
                <w:sz w:val="20"/>
                <w:szCs w:val="20"/>
                <w:color w:val="auto"/>
                <w:w w:val="87"/>
              </w:rPr>
              <w:t>Authorization; Enforceability</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40" w:type="dxa"/>
            <w:vAlign w:val="bottom"/>
            <w:gridSpan w:val="6"/>
          </w:tcPr>
          <w:p>
            <w:pPr>
              <w:jc w:val="right"/>
              <w:spacing w:after="0" w:line="196" w:lineRule="exact"/>
              <w:rPr>
                <w:sz w:val="20"/>
                <w:szCs w:val="20"/>
                <w:color w:val="auto"/>
              </w:rPr>
            </w:pPr>
            <w:r>
              <w:rPr>
                <w:rFonts w:ascii="Arial" w:cs="Arial" w:eastAsia="Arial" w:hAnsi="Arial"/>
                <w:sz w:val="20"/>
                <w:szCs w:val="20"/>
                <w:color w:val="FF0000"/>
                <w:strike w:val="1"/>
                <w:w w:val="98"/>
              </w:rPr>
              <w:t>62</w:t>
            </w:r>
          </w:p>
        </w:tc>
        <w:tc>
          <w:tcPr>
            <w:tcW w:w="200" w:type="dxa"/>
            <w:vAlign w:val="bottom"/>
            <w:tcBorders>
              <w:bottom w:val="single" w:sz="8" w:color="0000FF"/>
            </w:tcBorders>
            <w:gridSpan w:val="3"/>
          </w:tcPr>
          <w:p>
            <w:pPr>
              <w:jc w:val="right"/>
              <w:spacing w:after="0" w:line="196" w:lineRule="exact"/>
              <w:rPr>
                <w:sz w:val="20"/>
                <w:szCs w:val="20"/>
                <w:color w:val="auto"/>
              </w:rPr>
            </w:pPr>
            <w:r>
              <w:rPr>
                <w:rFonts w:ascii="Arial" w:cs="Arial" w:eastAsia="Arial" w:hAnsi="Arial"/>
                <w:sz w:val="20"/>
                <w:szCs w:val="20"/>
                <w:color w:val="0000FF"/>
                <w:w w:val="80"/>
              </w:rPr>
              <w:t>66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3.03</w:t>
            </w:r>
          </w:p>
        </w:tc>
        <w:tc>
          <w:tcPr>
            <w:tcW w:w="200" w:type="dxa"/>
            <w:vAlign w:val="bottom"/>
          </w:tcPr>
          <w:p>
            <w:pPr>
              <w:spacing w:after="0"/>
              <w:rPr>
                <w:sz w:val="17"/>
                <w:szCs w:val="17"/>
                <w:color w:val="auto"/>
              </w:rPr>
            </w:pPr>
          </w:p>
        </w:tc>
        <w:tc>
          <w:tcPr>
            <w:tcW w:w="3180" w:type="dxa"/>
            <w:vAlign w:val="bottom"/>
            <w:gridSpan w:val="39"/>
          </w:tcPr>
          <w:p>
            <w:pPr>
              <w:spacing w:after="0" w:line="196" w:lineRule="exact"/>
              <w:rPr>
                <w:sz w:val="20"/>
                <w:szCs w:val="20"/>
                <w:color w:val="auto"/>
              </w:rPr>
            </w:pPr>
            <w:r>
              <w:rPr>
                <w:rFonts w:ascii="Arial" w:cs="Arial" w:eastAsia="Arial" w:hAnsi="Arial"/>
                <w:sz w:val="20"/>
                <w:szCs w:val="20"/>
                <w:color w:val="auto"/>
                <w:w w:val="93"/>
              </w:rPr>
              <w:t>Governmental Approvals; No Conflicts</w:t>
            </w:r>
          </w:p>
        </w:tc>
        <w:tc>
          <w:tcPr>
            <w:tcW w:w="100" w:type="dxa"/>
            <w:vAlign w:val="bottom"/>
          </w:tcPr>
          <w:p>
            <w:pPr>
              <w:spacing w:after="0"/>
              <w:rPr>
                <w:sz w:val="17"/>
                <w:szCs w:val="17"/>
                <w:color w:val="auto"/>
              </w:rPr>
            </w:pPr>
          </w:p>
        </w:tc>
        <w:tc>
          <w:tcPr>
            <w:tcW w:w="240" w:type="dxa"/>
            <w:vAlign w:val="bottom"/>
            <w:gridSpan w:val="3"/>
          </w:tcPr>
          <w:p>
            <w:pPr>
              <w:jc w:val="right"/>
              <w:spacing w:after="0" w:line="196" w:lineRule="exact"/>
              <w:rPr>
                <w:sz w:val="20"/>
                <w:szCs w:val="20"/>
                <w:color w:val="auto"/>
              </w:rPr>
            </w:pPr>
            <w:r>
              <w:rPr>
                <w:rFonts w:ascii="Arial" w:cs="Arial" w:eastAsia="Arial" w:hAnsi="Arial"/>
                <w:sz w:val="20"/>
                <w:szCs w:val="20"/>
                <w:color w:val="FF0000"/>
                <w:strike w:val="1"/>
                <w:w w:val="98"/>
              </w:rPr>
              <w:t>62</w:t>
            </w:r>
          </w:p>
        </w:tc>
        <w:tc>
          <w:tcPr>
            <w:tcW w:w="2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20"/>
                <w:szCs w:val="20"/>
                <w:color w:val="0000FF"/>
                <w:w w:val="80"/>
              </w:rPr>
              <w:t>67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3.04</w:t>
            </w:r>
          </w:p>
        </w:tc>
        <w:tc>
          <w:tcPr>
            <w:tcW w:w="200" w:type="dxa"/>
            <w:vAlign w:val="bottom"/>
          </w:tcPr>
          <w:p>
            <w:pPr>
              <w:spacing w:after="0"/>
              <w:rPr>
                <w:sz w:val="17"/>
                <w:szCs w:val="17"/>
                <w:color w:val="auto"/>
              </w:rPr>
            </w:pPr>
          </w:p>
        </w:tc>
        <w:tc>
          <w:tcPr>
            <w:tcW w:w="3520" w:type="dxa"/>
            <w:vAlign w:val="bottom"/>
            <w:gridSpan w:val="43"/>
          </w:tcPr>
          <w:p>
            <w:pPr>
              <w:spacing w:after="0" w:line="196" w:lineRule="exact"/>
              <w:rPr>
                <w:sz w:val="20"/>
                <w:szCs w:val="20"/>
                <w:color w:val="auto"/>
              </w:rPr>
            </w:pPr>
            <w:r>
              <w:rPr>
                <w:rFonts w:ascii="Arial" w:cs="Arial" w:eastAsia="Arial" w:hAnsi="Arial"/>
                <w:sz w:val="20"/>
                <w:szCs w:val="20"/>
                <w:color w:val="auto"/>
                <w:w w:val="96"/>
              </w:rPr>
              <w:t>Financial Condition; No Material Adverse</w:t>
            </w:r>
          </w:p>
        </w:tc>
        <w:tc>
          <w:tcPr>
            <w:tcW w:w="500" w:type="dxa"/>
            <w:vAlign w:val="bottom"/>
            <w:gridSpan w:val="7"/>
          </w:tcPr>
          <w:p>
            <w:pPr>
              <w:spacing w:after="0" w:line="196" w:lineRule="exact"/>
              <w:rPr>
                <w:sz w:val="20"/>
                <w:szCs w:val="20"/>
                <w:color w:val="auto"/>
              </w:rPr>
            </w:pPr>
            <w:r>
              <w:rPr>
                <w:rFonts w:ascii="Arial" w:cs="Arial" w:eastAsia="Arial" w:hAnsi="Arial"/>
                <w:sz w:val="19"/>
                <w:szCs w:val="19"/>
                <w:color w:val="auto"/>
                <w:w w:val="72"/>
              </w:rPr>
              <w:t>Change</w:t>
            </w:r>
          </w:p>
        </w:tc>
        <w:tc>
          <w:tcPr>
            <w:tcW w:w="380" w:type="dxa"/>
            <w:vAlign w:val="bottom"/>
          </w:tcPr>
          <w:p>
            <w:pPr>
              <w:jc w:val="right"/>
              <w:spacing w:after="0" w:line="196" w:lineRule="exact"/>
              <w:rPr>
                <w:sz w:val="20"/>
                <w:szCs w:val="20"/>
                <w:color w:val="auto"/>
              </w:rPr>
            </w:pPr>
            <w:r>
              <w:rPr>
                <w:rFonts w:ascii="Arial" w:cs="Arial" w:eastAsia="Arial" w:hAnsi="Arial"/>
                <w:sz w:val="20"/>
                <w:szCs w:val="20"/>
                <w:color w:val="FF0000"/>
                <w:strike w:val="1"/>
              </w:rPr>
              <w:t>62</w:t>
            </w:r>
          </w:p>
        </w:tc>
        <w:tc>
          <w:tcPr>
            <w:tcW w:w="20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0"/>
              </w:rPr>
              <w:t>67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3.05</w:t>
            </w:r>
          </w:p>
        </w:tc>
        <w:tc>
          <w:tcPr>
            <w:tcW w:w="200" w:type="dxa"/>
            <w:vAlign w:val="bottom"/>
          </w:tcPr>
          <w:p>
            <w:pPr>
              <w:spacing w:after="0"/>
              <w:rPr>
                <w:sz w:val="17"/>
                <w:szCs w:val="17"/>
                <w:color w:val="auto"/>
              </w:rPr>
            </w:pPr>
          </w:p>
        </w:tc>
        <w:tc>
          <w:tcPr>
            <w:tcW w:w="880" w:type="dxa"/>
            <w:vAlign w:val="bottom"/>
            <w:gridSpan w:val="3"/>
          </w:tcPr>
          <w:p>
            <w:pPr>
              <w:spacing w:after="0" w:line="196" w:lineRule="exact"/>
              <w:rPr>
                <w:sz w:val="20"/>
                <w:szCs w:val="20"/>
                <w:color w:val="auto"/>
              </w:rPr>
            </w:pPr>
            <w:r>
              <w:rPr>
                <w:rFonts w:ascii="Arial" w:cs="Arial" w:eastAsia="Arial" w:hAnsi="Arial"/>
                <w:sz w:val="20"/>
                <w:szCs w:val="20"/>
                <w:color w:val="auto"/>
                <w:w w:val="94"/>
              </w:rPr>
              <w:t>Properties</w:t>
            </w:r>
          </w:p>
        </w:tc>
        <w:tc>
          <w:tcPr>
            <w:tcW w:w="32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rPr>
              <w:t>62</w:t>
            </w:r>
          </w:p>
        </w:tc>
        <w:tc>
          <w:tcPr>
            <w:tcW w:w="220" w:type="dxa"/>
            <w:vAlign w:val="bottom"/>
            <w:gridSpan w:val="3"/>
          </w:tcPr>
          <w:p>
            <w:pPr>
              <w:jc w:val="right"/>
              <w:spacing w:after="0" w:line="196" w:lineRule="exact"/>
              <w:rPr>
                <w:sz w:val="20"/>
                <w:szCs w:val="20"/>
                <w:color w:val="auto"/>
              </w:rPr>
            </w:pPr>
            <w:r>
              <w:rPr>
                <w:rFonts w:ascii="Arial" w:cs="Arial" w:eastAsia="Arial" w:hAnsi="Arial"/>
                <w:sz w:val="20"/>
                <w:szCs w:val="20"/>
                <w:color w:val="0000FF"/>
                <w:w w:val="80"/>
              </w:rPr>
              <w:t>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3.06</w:t>
            </w:r>
          </w:p>
        </w:tc>
        <w:tc>
          <w:tcPr>
            <w:tcW w:w="200" w:type="dxa"/>
            <w:vAlign w:val="bottom"/>
          </w:tcPr>
          <w:p>
            <w:pPr>
              <w:spacing w:after="0"/>
              <w:rPr>
                <w:sz w:val="17"/>
                <w:szCs w:val="17"/>
                <w:color w:val="auto"/>
              </w:rPr>
            </w:pPr>
          </w:p>
        </w:tc>
        <w:tc>
          <w:tcPr>
            <w:tcW w:w="1200" w:type="dxa"/>
            <w:vAlign w:val="bottom"/>
            <w:gridSpan w:val="5"/>
          </w:tcPr>
          <w:p>
            <w:pPr>
              <w:spacing w:after="0" w:line="196" w:lineRule="exact"/>
              <w:rPr>
                <w:sz w:val="20"/>
                <w:szCs w:val="20"/>
                <w:color w:val="auto"/>
              </w:rPr>
            </w:pPr>
            <w:r>
              <w:rPr>
                <w:rFonts w:ascii="Arial" w:cs="Arial" w:eastAsia="Arial" w:hAnsi="Arial"/>
                <w:sz w:val="20"/>
                <w:szCs w:val="20"/>
                <w:color w:val="auto"/>
                <w:w w:val="99"/>
              </w:rPr>
              <w:t>Litigation and</w:t>
            </w: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780" w:type="dxa"/>
            <w:vAlign w:val="bottom"/>
            <w:gridSpan w:val="32"/>
          </w:tcPr>
          <w:p>
            <w:pPr>
              <w:jc w:val="center"/>
              <w:ind w:right="81"/>
              <w:spacing w:after="0" w:line="196" w:lineRule="exact"/>
              <w:rPr>
                <w:sz w:val="20"/>
                <w:szCs w:val="20"/>
                <w:color w:val="auto"/>
              </w:rPr>
            </w:pPr>
            <w:r>
              <w:rPr>
                <w:rFonts w:ascii="Arial" w:cs="Arial" w:eastAsia="Arial" w:hAnsi="Arial"/>
                <w:sz w:val="20"/>
                <w:szCs w:val="20"/>
                <w:color w:val="auto"/>
                <w:w w:val="79"/>
              </w:rPr>
              <w:t>Environmental Matters</w:t>
            </w:r>
          </w:p>
        </w:tc>
        <w:tc>
          <w:tcPr>
            <w:tcW w:w="22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w w:val="89"/>
              </w:rPr>
              <w:t>62</w:t>
            </w:r>
          </w:p>
        </w:tc>
        <w:tc>
          <w:tcPr>
            <w:tcW w:w="20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20"/>
                <w:szCs w:val="20"/>
                <w:color w:val="0000FF"/>
                <w:w w:val="80"/>
              </w:rPr>
              <w:t>67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3.07</w:t>
            </w:r>
          </w:p>
        </w:tc>
        <w:tc>
          <w:tcPr>
            <w:tcW w:w="200" w:type="dxa"/>
            <w:vAlign w:val="bottom"/>
          </w:tcPr>
          <w:p>
            <w:pPr>
              <w:spacing w:after="0"/>
              <w:rPr>
                <w:sz w:val="17"/>
                <w:szCs w:val="17"/>
                <w:color w:val="auto"/>
              </w:rPr>
            </w:pPr>
          </w:p>
        </w:tc>
        <w:tc>
          <w:tcPr>
            <w:tcW w:w="3180" w:type="dxa"/>
            <w:vAlign w:val="bottom"/>
            <w:gridSpan w:val="39"/>
          </w:tcPr>
          <w:p>
            <w:pPr>
              <w:spacing w:after="0" w:line="196" w:lineRule="exact"/>
              <w:rPr>
                <w:sz w:val="20"/>
                <w:szCs w:val="20"/>
                <w:color w:val="auto"/>
              </w:rPr>
            </w:pPr>
            <w:r>
              <w:rPr>
                <w:rFonts w:ascii="Arial" w:cs="Arial" w:eastAsia="Arial" w:hAnsi="Arial"/>
                <w:sz w:val="20"/>
                <w:szCs w:val="20"/>
                <w:color w:val="auto"/>
                <w:w w:val="89"/>
              </w:rPr>
              <w:t>Compliance with Laws and Agreements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4"/>
          </w:tcPr>
          <w:p>
            <w:pPr>
              <w:spacing w:after="0" w:line="196" w:lineRule="exact"/>
              <w:rPr>
                <w:sz w:val="20"/>
                <w:szCs w:val="20"/>
                <w:color w:val="auto"/>
              </w:rPr>
            </w:pPr>
            <w:r>
              <w:rPr>
                <w:rFonts w:ascii="Arial" w:cs="Arial" w:eastAsia="Arial" w:hAnsi="Arial"/>
                <w:sz w:val="20"/>
                <w:szCs w:val="20"/>
                <w:color w:val="FF0000"/>
                <w:strike w:val="1"/>
                <w:w w:val="71"/>
              </w:rPr>
              <w:t>63</w:t>
            </w:r>
          </w:p>
        </w:tc>
        <w:tc>
          <w:tcPr>
            <w:tcW w:w="20" w:type="dxa"/>
            <w:vAlign w:val="bottom"/>
          </w:tcPr>
          <w:p>
            <w:pPr>
              <w:spacing w:after="0"/>
              <w:rPr>
                <w:sz w:val="17"/>
                <w:szCs w:val="17"/>
                <w:color w:val="auto"/>
              </w:rPr>
            </w:pPr>
          </w:p>
        </w:tc>
        <w:tc>
          <w:tcPr>
            <w:tcW w:w="420" w:type="dxa"/>
            <w:vAlign w:val="bottom"/>
            <w:gridSpan w:val="4"/>
          </w:tcPr>
          <w:p>
            <w:pPr>
              <w:jc w:val="right"/>
              <w:ind w:right="240"/>
              <w:spacing w:after="0" w:line="196" w:lineRule="exact"/>
              <w:rPr>
                <w:sz w:val="20"/>
                <w:szCs w:val="20"/>
                <w:color w:val="auto"/>
              </w:rPr>
            </w:pPr>
            <w:r>
              <w:rPr>
                <w:rFonts w:ascii="Arial" w:cs="Arial" w:eastAsia="Arial" w:hAnsi="Arial"/>
                <w:sz w:val="20"/>
                <w:szCs w:val="20"/>
                <w:color w:val="0000FF"/>
                <w:w w:val="71"/>
              </w:rPr>
              <w:t>68</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20"/>
                <w:szCs w:val="20"/>
                <w:color w:val="auto"/>
                <w:w w:val="88"/>
              </w:rPr>
              <w:t>Section 3.08</w:t>
            </w:r>
          </w:p>
        </w:tc>
        <w:tc>
          <w:tcPr>
            <w:tcW w:w="200" w:type="dxa"/>
            <w:vAlign w:val="bottom"/>
          </w:tcPr>
          <w:p>
            <w:pPr>
              <w:spacing w:after="0"/>
              <w:rPr>
                <w:sz w:val="17"/>
                <w:szCs w:val="17"/>
                <w:color w:val="auto"/>
              </w:rPr>
            </w:pPr>
          </w:p>
        </w:tc>
        <w:tc>
          <w:tcPr>
            <w:tcW w:w="2380" w:type="dxa"/>
            <w:vAlign w:val="bottom"/>
            <w:gridSpan w:val="24"/>
          </w:tcPr>
          <w:p>
            <w:pPr>
              <w:spacing w:after="0" w:line="196" w:lineRule="exact"/>
              <w:rPr>
                <w:sz w:val="20"/>
                <w:szCs w:val="20"/>
                <w:color w:val="auto"/>
              </w:rPr>
            </w:pPr>
            <w:r>
              <w:rPr>
                <w:rFonts w:ascii="Arial" w:cs="Arial" w:eastAsia="Arial" w:hAnsi="Arial"/>
                <w:sz w:val="20"/>
                <w:szCs w:val="20"/>
                <w:color w:val="auto"/>
                <w:w w:val="93"/>
              </w:rPr>
              <w:t>Investment Company Status</w:t>
            </w:r>
          </w:p>
        </w:tc>
        <w:tc>
          <w:tcPr>
            <w:tcW w:w="20" w:type="dxa"/>
            <w:vAlign w:val="bottom"/>
          </w:tcPr>
          <w:p>
            <w:pPr>
              <w:spacing w:after="0"/>
              <w:rPr>
                <w:sz w:val="17"/>
                <w:szCs w:val="17"/>
                <w:color w:val="auto"/>
              </w:rPr>
            </w:pPr>
          </w:p>
        </w:tc>
        <w:tc>
          <w:tcPr>
            <w:tcW w:w="22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w w:val="89"/>
              </w:rPr>
              <w:t>63</w:t>
            </w:r>
          </w:p>
        </w:tc>
        <w:tc>
          <w:tcPr>
            <w:tcW w:w="200" w:type="dxa"/>
            <w:vAlign w:val="bottom"/>
            <w:tcBorders>
              <w:bottom w:val="single" w:sz="8" w:color="0000FF"/>
            </w:tcBorders>
            <w:gridSpan w:val="4"/>
          </w:tcPr>
          <w:p>
            <w:pPr>
              <w:ind w:left="20"/>
              <w:spacing w:after="0" w:line="196" w:lineRule="exact"/>
              <w:rPr>
                <w:sz w:val="20"/>
                <w:szCs w:val="20"/>
                <w:color w:val="auto"/>
              </w:rPr>
            </w:pPr>
            <w:r>
              <w:rPr>
                <w:rFonts w:ascii="Arial" w:cs="Arial" w:eastAsia="Arial" w:hAnsi="Arial"/>
                <w:sz w:val="20"/>
                <w:szCs w:val="20"/>
                <w:color w:val="0000FF"/>
                <w:w w:val="71"/>
              </w:rPr>
              <w:t>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NAI-1523373604v</w:t>
      </w:r>
      <w:r>
        <w:rPr>
          <w:rFonts w:ascii="Arial" w:cs="Arial" w:eastAsia="Arial" w:hAnsi="Arial"/>
          <w:sz w:val="15"/>
          <w:szCs w:val="15"/>
          <w:color w:val="FF0000"/>
          <w:strike w:val="1"/>
        </w:rPr>
        <w:t>1</w:t>
      </w:r>
      <w:r>
        <w:rPr>
          <w:rFonts w:ascii="Arial" w:cs="Arial" w:eastAsia="Arial" w:hAnsi="Arial"/>
          <w:sz w:val="15"/>
          <w:szCs w:val="15"/>
          <w:u w:val="single" w:color="auto"/>
          <w:color w:val="0000FF"/>
        </w:rPr>
        <w:t>6</w:t>
      </w:r>
    </w:p>
    <w:p>
      <w:pPr>
        <w:sectPr>
          <w:pgSz w:w="11900" w:h="16838" w:orient="portrait"/>
          <w:cols w:equalWidth="0" w:num="1">
            <w:col w:w="11240"/>
          </w:cols>
          <w:pgMar w:left="320" w:top="104" w:right="3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Arial" w:cs="Arial" w:eastAsia="Arial" w:hAnsi="Arial"/>
                <w:sz w:val="20"/>
                <w:szCs w:val="20"/>
                <w:color w:val="auto"/>
              </w:rPr>
              <w:t>Section 3.09</w:t>
            </w:r>
          </w:p>
        </w:tc>
        <w:tc>
          <w:tcPr>
            <w:tcW w:w="800" w:type="dxa"/>
            <w:vAlign w:val="bottom"/>
            <w:gridSpan w:val="2"/>
          </w:tcPr>
          <w:p>
            <w:pPr>
              <w:ind w:left="200"/>
              <w:spacing w:after="0"/>
              <w:rPr>
                <w:sz w:val="20"/>
                <w:szCs w:val="20"/>
                <w:color w:val="auto"/>
              </w:rPr>
            </w:pPr>
            <w:r>
              <w:rPr>
                <w:rFonts w:ascii="Arial" w:cs="Arial" w:eastAsia="Arial" w:hAnsi="Arial"/>
                <w:sz w:val="20"/>
                <w:szCs w:val="20"/>
                <w:color w:val="auto"/>
              </w:rPr>
              <w:t>Taxes</w:t>
            </w:r>
          </w:p>
        </w:tc>
        <w:tc>
          <w:tcPr>
            <w:tcW w:w="260" w:type="dxa"/>
            <w:vAlign w:val="bottom"/>
            <w:gridSpan w:val="4"/>
          </w:tcPr>
          <w:p>
            <w:pPr>
              <w:jc w:val="right"/>
              <w:spacing w:after="0"/>
              <w:rPr>
                <w:sz w:val="20"/>
                <w:szCs w:val="20"/>
                <w:color w:val="auto"/>
              </w:rPr>
            </w:pPr>
            <w:r>
              <w:rPr>
                <w:rFonts w:ascii="Arial" w:cs="Arial" w:eastAsia="Arial" w:hAnsi="Arial"/>
                <w:sz w:val="20"/>
                <w:szCs w:val="20"/>
                <w:color w:val="FF0000"/>
                <w:strike w:val="1"/>
              </w:rPr>
              <w:t>63</w:t>
            </w:r>
          </w:p>
        </w:tc>
        <w:tc>
          <w:tcPr>
            <w:tcW w:w="2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0"/>
              </w:rPr>
              <w:t>68</w:t>
            </w:r>
          </w:p>
        </w:tc>
        <w:tc>
          <w:tcPr>
            <w:tcW w:w="4360" w:type="dxa"/>
            <w:vAlign w:val="bottom"/>
            <w:gridSpan w:val="5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20" w:type="dxa"/>
            <w:vAlign w:val="bottom"/>
            <w:gridSpan w:val="3"/>
          </w:tcPr>
          <w:p>
            <w:pPr>
              <w:spacing w:after="0"/>
              <w:rPr>
                <w:sz w:val="20"/>
                <w:szCs w:val="20"/>
                <w:color w:val="auto"/>
              </w:rPr>
            </w:pPr>
            <w:r>
              <w:rPr>
                <w:rFonts w:ascii="Arial" w:cs="Arial" w:eastAsia="Arial" w:hAnsi="Arial"/>
                <w:sz w:val="20"/>
                <w:szCs w:val="20"/>
                <w:color w:val="auto"/>
              </w:rPr>
              <w:t>Section 3.10</w:t>
            </w:r>
          </w:p>
        </w:tc>
        <w:tc>
          <w:tcPr>
            <w:tcW w:w="760" w:type="dxa"/>
            <w:vAlign w:val="bottom"/>
            <w:gridSpan w:val="2"/>
          </w:tcPr>
          <w:p>
            <w:pPr>
              <w:spacing w:after="0" w:line="196" w:lineRule="exact"/>
              <w:rPr>
                <w:sz w:val="20"/>
                <w:szCs w:val="20"/>
                <w:color w:val="auto"/>
              </w:rPr>
            </w:pPr>
            <w:r>
              <w:rPr>
                <w:rFonts w:ascii="Arial" w:cs="Arial" w:eastAsia="Arial" w:hAnsi="Arial"/>
                <w:sz w:val="20"/>
                <w:szCs w:val="20"/>
                <w:color w:val="auto"/>
                <w:w w:val="96"/>
              </w:rPr>
              <w:t>ERISA</w:t>
            </w:r>
          </w:p>
        </w:tc>
        <w:tc>
          <w:tcPr>
            <w:tcW w:w="20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w w:val="80"/>
              </w:rPr>
              <w:t>63</w:t>
            </w:r>
          </w:p>
        </w:tc>
        <w:tc>
          <w:tcPr>
            <w:tcW w:w="200" w:type="dxa"/>
            <w:vAlign w:val="bottom"/>
            <w:tcBorders>
              <w:bottom w:val="single" w:sz="8" w:color="0000FF"/>
            </w:tcBorders>
            <w:gridSpan w:val="7"/>
          </w:tcPr>
          <w:p>
            <w:pPr>
              <w:jc w:val="right"/>
              <w:spacing w:after="0" w:line="196" w:lineRule="exact"/>
              <w:rPr>
                <w:sz w:val="20"/>
                <w:szCs w:val="20"/>
                <w:color w:val="auto"/>
              </w:rPr>
            </w:pPr>
            <w:r>
              <w:rPr>
                <w:rFonts w:ascii="Arial" w:cs="Arial" w:eastAsia="Arial" w:hAnsi="Arial"/>
                <w:sz w:val="20"/>
                <w:szCs w:val="20"/>
                <w:color w:val="0000FF"/>
                <w:w w:val="80"/>
              </w:rPr>
              <w:t>68</w:t>
            </w:r>
          </w:p>
        </w:tc>
        <w:tc>
          <w:tcPr>
            <w:tcW w:w="4260" w:type="dxa"/>
            <w:vAlign w:val="bottom"/>
            <w:gridSpan w:val="5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980" w:type="dxa"/>
            <w:vAlign w:val="bottom"/>
          </w:tcPr>
          <w:p>
            <w:pPr>
              <w:spacing w:after="0" w:line="209" w:lineRule="exact"/>
              <w:rPr>
                <w:sz w:val="20"/>
                <w:szCs w:val="20"/>
                <w:color w:val="auto"/>
              </w:rPr>
            </w:pPr>
            <w:r>
              <w:rPr>
                <w:rFonts w:ascii="Arial" w:cs="Arial" w:eastAsia="Arial" w:hAnsi="Arial"/>
                <w:sz w:val="20"/>
                <w:szCs w:val="20"/>
                <w:color w:val="auto"/>
                <w:w w:val="86"/>
              </w:rPr>
              <w:t>Section 3.11</w:t>
            </w:r>
          </w:p>
        </w:tc>
        <w:tc>
          <w:tcPr>
            <w:tcW w:w="1240" w:type="dxa"/>
            <w:vAlign w:val="bottom"/>
            <w:gridSpan w:val="11"/>
          </w:tcPr>
          <w:p>
            <w:pPr>
              <w:ind w:left="200"/>
              <w:spacing w:after="0" w:line="209" w:lineRule="exact"/>
              <w:rPr>
                <w:sz w:val="20"/>
                <w:szCs w:val="20"/>
                <w:color w:val="auto"/>
              </w:rPr>
            </w:pPr>
            <w:r>
              <w:rPr>
                <w:rFonts w:ascii="Arial" w:cs="Arial" w:eastAsia="Arial" w:hAnsi="Arial"/>
                <w:sz w:val="20"/>
                <w:szCs w:val="20"/>
                <w:color w:val="auto"/>
              </w:rPr>
              <w:t>Disclosure</w:t>
            </w:r>
          </w:p>
        </w:tc>
        <w:tc>
          <w:tcPr>
            <w:tcW w:w="200" w:type="dxa"/>
            <w:vAlign w:val="bottom"/>
            <w:gridSpan w:val="6"/>
          </w:tcPr>
          <w:p>
            <w:pPr>
              <w:jc w:val="right"/>
              <w:spacing w:after="0" w:line="209" w:lineRule="exact"/>
              <w:rPr>
                <w:sz w:val="20"/>
                <w:szCs w:val="20"/>
                <w:color w:val="auto"/>
              </w:rPr>
            </w:pPr>
            <w:r>
              <w:rPr>
                <w:rFonts w:ascii="Arial" w:cs="Arial" w:eastAsia="Arial" w:hAnsi="Arial"/>
                <w:sz w:val="20"/>
                <w:szCs w:val="20"/>
                <w:color w:val="FF0000"/>
                <w:strike w:val="1"/>
                <w:w w:val="80"/>
              </w:rPr>
              <w:t>63</w:t>
            </w:r>
          </w:p>
        </w:tc>
        <w:tc>
          <w:tcPr>
            <w:tcW w:w="200" w:type="dxa"/>
            <w:vAlign w:val="bottom"/>
            <w:tcBorders>
              <w:bottom w:val="single" w:sz="8" w:color="0000FF"/>
            </w:tcBorders>
            <w:gridSpan w:val="3"/>
          </w:tcPr>
          <w:p>
            <w:pPr>
              <w:jc w:val="right"/>
              <w:spacing w:after="0" w:line="209" w:lineRule="exact"/>
              <w:rPr>
                <w:sz w:val="20"/>
                <w:szCs w:val="20"/>
                <w:color w:val="auto"/>
              </w:rPr>
            </w:pPr>
            <w:r>
              <w:rPr>
                <w:rFonts w:ascii="Arial" w:cs="Arial" w:eastAsia="Arial" w:hAnsi="Arial"/>
                <w:sz w:val="20"/>
                <w:szCs w:val="20"/>
                <w:color w:val="0000FF"/>
                <w:w w:val="80"/>
              </w:rPr>
              <w:t>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Arial" w:cs="Arial" w:eastAsia="Arial" w:hAnsi="Arial"/>
                <w:sz w:val="20"/>
                <w:szCs w:val="20"/>
                <w:color w:val="auto"/>
                <w:w w:val="86"/>
              </w:rPr>
              <w:t>Section 3.12</w:t>
            </w:r>
          </w:p>
        </w:tc>
        <w:tc>
          <w:tcPr>
            <w:tcW w:w="200" w:type="dxa"/>
            <w:vAlign w:val="bottom"/>
          </w:tcPr>
          <w:p>
            <w:pPr>
              <w:spacing w:after="0"/>
              <w:rPr>
                <w:sz w:val="17"/>
                <w:szCs w:val="17"/>
                <w:color w:val="auto"/>
              </w:rPr>
            </w:pPr>
          </w:p>
        </w:tc>
        <w:tc>
          <w:tcPr>
            <w:tcW w:w="1240" w:type="dxa"/>
            <w:vAlign w:val="bottom"/>
            <w:gridSpan w:val="16"/>
          </w:tcPr>
          <w:p>
            <w:pPr>
              <w:spacing w:after="0" w:line="196" w:lineRule="exact"/>
              <w:rPr>
                <w:sz w:val="20"/>
                <w:szCs w:val="20"/>
                <w:color w:val="auto"/>
              </w:rPr>
            </w:pPr>
            <w:r>
              <w:rPr>
                <w:rFonts w:ascii="Arial" w:cs="Arial" w:eastAsia="Arial" w:hAnsi="Arial"/>
                <w:sz w:val="20"/>
                <w:szCs w:val="20"/>
                <w:color w:val="auto"/>
                <w:w w:val="87"/>
              </w:rPr>
              <w:t>Sanctions Laws</w:t>
            </w:r>
          </w:p>
        </w:tc>
        <w:tc>
          <w:tcPr>
            <w:tcW w:w="1460" w:type="dxa"/>
            <w:vAlign w:val="bottom"/>
            <w:gridSpan w:val="24"/>
          </w:tcPr>
          <w:p>
            <w:pPr>
              <w:jc w:val="center"/>
              <w:ind w:right="60"/>
              <w:spacing w:after="0" w:line="196" w:lineRule="exact"/>
              <w:rPr>
                <w:sz w:val="20"/>
                <w:szCs w:val="20"/>
                <w:color w:val="auto"/>
              </w:rPr>
            </w:pPr>
            <w:r>
              <w:rPr>
                <w:rFonts w:ascii="Arial" w:cs="Arial" w:eastAsia="Arial" w:hAnsi="Arial"/>
                <w:sz w:val="20"/>
                <w:szCs w:val="20"/>
                <w:color w:val="auto"/>
                <w:w w:val="88"/>
              </w:rPr>
              <w:t>and Regulations</w:t>
            </w:r>
          </w:p>
        </w:tc>
        <w:tc>
          <w:tcPr>
            <w:tcW w:w="80" w:type="dxa"/>
            <w:vAlign w:val="bottom"/>
          </w:tcPr>
          <w:p>
            <w:pPr>
              <w:spacing w:after="0"/>
              <w:rPr>
                <w:sz w:val="17"/>
                <w:szCs w:val="17"/>
                <w:color w:val="auto"/>
              </w:rPr>
            </w:pPr>
          </w:p>
        </w:tc>
        <w:tc>
          <w:tcPr>
            <w:tcW w:w="20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w w:val="80"/>
              </w:rPr>
              <w:t>64</w:t>
            </w:r>
          </w:p>
        </w:tc>
        <w:tc>
          <w:tcPr>
            <w:tcW w:w="220" w:type="dxa"/>
            <w:vAlign w:val="bottom"/>
            <w:gridSpan w:val="4"/>
          </w:tcPr>
          <w:p>
            <w:pPr>
              <w:jc w:val="right"/>
              <w:ind w:right="20"/>
              <w:spacing w:after="0" w:line="196" w:lineRule="exact"/>
              <w:rPr>
                <w:sz w:val="20"/>
                <w:szCs w:val="20"/>
                <w:color w:val="auto"/>
              </w:rPr>
            </w:pPr>
            <w:r>
              <w:rPr>
                <w:rFonts w:ascii="Arial" w:cs="Arial" w:eastAsia="Arial" w:hAnsi="Arial"/>
                <w:sz w:val="20"/>
                <w:szCs w:val="20"/>
                <w:color w:val="0000FF"/>
                <w:w w:val="80"/>
              </w:rPr>
              <w:t>68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Arial" w:cs="Arial" w:eastAsia="Arial" w:hAnsi="Arial"/>
                <w:sz w:val="20"/>
                <w:szCs w:val="20"/>
                <w:color w:val="auto"/>
                <w:w w:val="86"/>
              </w:rPr>
              <w:t>Section 3.13</w:t>
            </w:r>
          </w:p>
        </w:tc>
        <w:tc>
          <w:tcPr>
            <w:tcW w:w="200" w:type="dxa"/>
            <w:vAlign w:val="bottom"/>
          </w:tcPr>
          <w:p>
            <w:pPr>
              <w:spacing w:after="0"/>
              <w:rPr>
                <w:sz w:val="17"/>
                <w:szCs w:val="17"/>
                <w:color w:val="auto"/>
              </w:rPr>
            </w:pPr>
          </w:p>
        </w:tc>
        <w:tc>
          <w:tcPr>
            <w:tcW w:w="2980" w:type="dxa"/>
            <w:vAlign w:val="bottom"/>
            <w:gridSpan w:val="45"/>
          </w:tcPr>
          <w:p>
            <w:pPr>
              <w:spacing w:after="0" w:line="196" w:lineRule="exact"/>
              <w:rPr>
                <w:sz w:val="20"/>
                <w:szCs w:val="20"/>
                <w:color w:val="auto"/>
              </w:rPr>
            </w:pPr>
            <w:r>
              <w:rPr>
                <w:rFonts w:ascii="Arial" w:cs="Arial" w:eastAsia="Arial" w:hAnsi="Arial"/>
                <w:sz w:val="20"/>
                <w:szCs w:val="20"/>
                <w:color w:val="auto"/>
                <w:w w:val="93"/>
              </w:rPr>
              <w:t>Federal Reserve Board Regulations</w:t>
            </w:r>
          </w:p>
        </w:tc>
        <w:tc>
          <w:tcPr>
            <w:tcW w:w="200" w:type="dxa"/>
            <w:vAlign w:val="bottom"/>
            <w:tcBorders>
              <w:top w:val="single" w:sz="8" w:color="0000FF"/>
            </w:tcBorders>
            <w:gridSpan w:val="3"/>
          </w:tcPr>
          <w:p>
            <w:pPr>
              <w:jc w:val="right"/>
              <w:spacing w:after="0" w:line="196" w:lineRule="exact"/>
              <w:rPr>
                <w:sz w:val="20"/>
                <w:szCs w:val="20"/>
                <w:color w:val="auto"/>
              </w:rPr>
            </w:pPr>
            <w:r>
              <w:rPr>
                <w:rFonts w:ascii="Arial" w:cs="Arial" w:eastAsia="Arial" w:hAnsi="Arial"/>
                <w:sz w:val="20"/>
                <w:szCs w:val="20"/>
                <w:color w:val="FF0000"/>
                <w:strike w:val="1"/>
                <w:w w:val="80"/>
              </w:rPr>
              <w:t>64</w:t>
            </w:r>
          </w:p>
        </w:tc>
        <w:tc>
          <w:tcPr>
            <w:tcW w:w="20" w:type="dxa"/>
            <w:vAlign w:val="bottom"/>
          </w:tcPr>
          <w:p>
            <w:pPr>
              <w:spacing w:after="0"/>
              <w:rPr>
                <w:sz w:val="17"/>
                <w:szCs w:val="17"/>
                <w:color w:val="auto"/>
              </w:rPr>
            </w:pPr>
          </w:p>
        </w:tc>
        <w:tc>
          <w:tcPr>
            <w:tcW w:w="220" w:type="dxa"/>
            <w:vAlign w:val="bottom"/>
            <w:gridSpan w:val="5"/>
          </w:tcPr>
          <w:p>
            <w:pPr>
              <w:jc w:val="right"/>
              <w:ind w:right="20"/>
              <w:spacing w:after="0" w:line="196" w:lineRule="exact"/>
              <w:rPr>
                <w:sz w:val="20"/>
                <w:szCs w:val="20"/>
                <w:color w:val="auto"/>
              </w:rPr>
            </w:pPr>
            <w:r>
              <w:rPr>
                <w:rFonts w:ascii="Arial" w:cs="Arial" w:eastAsia="Arial" w:hAnsi="Arial"/>
                <w:sz w:val="20"/>
                <w:szCs w:val="20"/>
                <w:color w:val="0000FF"/>
                <w:w w:val="80"/>
              </w:rPr>
              <w:t>69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980" w:type="dxa"/>
            <w:vAlign w:val="bottom"/>
          </w:tcPr>
          <w:p>
            <w:pPr>
              <w:spacing w:after="0" w:line="209" w:lineRule="exact"/>
              <w:rPr>
                <w:sz w:val="20"/>
                <w:szCs w:val="20"/>
                <w:color w:val="auto"/>
              </w:rPr>
            </w:pPr>
            <w:r>
              <w:rPr>
                <w:rFonts w:ascii="Arial" w:cs="Arial" w:eastAsia="Arial" w:hAnsi="Arial"/>
                <w:sz w:val="20"/>
                <w:szCs w:val="20"/>
                <w:color w:val="auto"/>
                <w:w w:val="86"/>
              </w:rPr>
              <w:t>Section 3.14</w:t>
            </w:r>
          </w:p>
        </w:tc>
        <w:tc>
          <w:tcPr>
            <w:tcW w:w="200" w:type="dxa"/>
            <w:vAlign w:val="bottom"/>
          </w:tcPr>
          <w:p>
            <w:pPr>
              <w:spacing w:after="0"/>
              <w:rPr>
                <w:sz w:val="18"/>
                <w:szCs w:val="18"/>
                <w:color w:val="auto"/>
              </w:rPr>
            </w:pPr>
          </w:p>
        </w:tc>
        <w:tc>
          <w:tcPr>
            <w:tcW w:w="1040" w:type="dxa"/>
            <w:vAlign w:val="bottom"/>
            <w:gridSpan w:val="10"/>
          </w:tcPr>
          <w:p>
            <w:pPr>
              <w:spacing w:after="0" w:line="209" w:lineRule="exact"/>
              <w:rPr>
                <w:sz w:val="20"/>
                <w:szCs w:val="20"/>
                <w:color w:val="auto"/>
              </w:rPr>
            </w:pPr>
            <w:r>
              <w:rPr>
                <w:rFonts w:ascii="Arial" w:cs="Arial" w:eastAsia="Arial" w:hAnsi="Arial"/>
                <w:sz w:val="20"/>
                <w:szCs w:val="20"/>
                <w:color w:val="auto"/>
                <w:w w:val="93"/>
              </w:rPr>
              <w:t>Subsidiaries</w:t>
            </w: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0"/>
              </w:rPr>
              <w:t>64</w:t>
            </w:r>
          </w:p>
        </w:tc>
        <w:tc>
          <w:tcPr>
            <w:tcW w:w="280" w:type="dxa"/>
            <w:vAlign w:val="bottom"/>
            <w:gridSpan w:val="4"/>
          </w:tcPr>
          <w:p>
            <w:pPr>
              <w:jc w:val="right"/>
              <w:ind w:right="80"/>
              <w:spacing w:after="0" w:line="209" w:lineRule="exact"/>
              <w:rPr>
                <w:sz w:val="20"/>
                <w:szCs w:val="20"/>
                <w:color w:val="auto"/>
              </w:rPr>
            </w:pPr>
            <w:r>
              <w:rPr>
                <w:rFonts w:ascii="Arial" w:cs="Arial" w:eastAsia="Arial" w:hAnsi="Arial"/>
                <w:sz w:val="20"/>
                <w:szCs w:val="20"/>
                <w:color w:val="0000FF"/>
                <w:w w:val="80"/>
              </w:rPr>
              <w:t>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20" w:type="dxa"/>
            <w:vAlign w:val="bottom"/>
            <w:gridSpan w:val="3"/>
          </w:tcPr>
          <w:p>
            <w:pPr>
              <w:spacing w:after="0"/>
              <w:rPr>
                <w:sz w:val="20"/>
                <w:szCs w:val="20"/>
                <w:color w:val="auto"/>
              </w:rPr>
            </w:pPr>
            <w:r>
              <w:rPr>
                <w:rFonts w:ascii="Arial" w:cs="Arial" w:eastAsia="Arial" w:hAnsi="Arial"/>
                <w:sz w:val="20"/>
                <w:szCs w:val="20"/>
                <w:color w:val="auto"/>
              </w:rPr>
              <w:t>Section 3.15</w:t>
            </w:r>
          </w:p>
        </w:tc>
        <w:tc>
          <w:tcPr>
            <w:tcW w:w="900" w:type="dxa"/>
            <w:vAlign w:val="bottom"/>
            <w:gridSpan w:val="6"/>
          </w:tcPr>
          <w:p>
            <w:pPr>
              <w:spacing w:after="0" w:line="196" w:lineRule="exact"/>
              <w:rPr>
                <w:sz w:val="20"/>
                <w:szCs w:val="20"/>
                <w:color w:val="auto"/>
              </w:rPr>
            </w:pPr>
            <w:r>
              <w:rPr>
                <w:rFonts w:ascii="Arial" w:cs="Arial" w:eastAsia="Arial" w:hAnsi="Arial"/>
                <w:sz w:val="20"/>
                <w:szCs w:val="20"/>
                <w:color w:val="auto"/>
                <w:w w:val="91"/>
              </w:rPr>
              <w:t>Solvency</w:t>
            </w:r>
          </w:p>
        </w:tc>
        <w:tc>
          <w:tcPr>
            <w:tcW w:w="240" w:type="dxa"/>
            <w:vAlign w:val="bottom"/>
            <w:gridSpan w:val="7"/>
          </w:tcPr>
          <w:p>
            <w:pPr>
              <w:jc w:val="right"/>
              <w:spacing w:after="0" w:line="196" w:lineRule="exact"/>
              <w:rPr>
                <w:sz w:val="20"/>
                <w:szCs w:val="20"/>
                <w:color w:val="auto"/>
              </w:rPr>
            </w:pPr>
            <w:r>
              <w:rPr>
                <w:rFonts w:ascii="Arial" w:cs="Arial" w:eastAsia="Arial" w:hAnsi="Arial"/>
                <w:sz w:val="20"/>
                <w:szCs w:val="20"/>
                <w:color w:val="FF0000"/>
                <w:strike w:val="1"/>
                <w:w w:val="98"/>
              </w:rPr>
              <w:t>64</w:t>
            </w:r>
          </w:p>
        </w:tc>
        <w:tc>
          <w:tcPr>
            <w:tcW w:w="220" w:type="dxa"/>
            <w:vAlign w:val="bottom"/>
            <w:gridSpan w:val="5"/>
          </w:tcPr>
          <w:p>
            <w:pPr>
              <w:jc w:val="right"/>
              <w:ind w:right="20"/>
              <w:spacing w:after="0" w:line="196" w:lineRule="exact"/>
              <w:rPr>
                <w:sz w:val="20"/>
                <w:szCs w:val="20"/>
                <w:color w:val="auto"/>
              </w:rPr>
            </w:pPr>
            <w:r>
              <w:rPr>
                <w:rFonts w:ascii="Arial" w:cs="Arial" w:eastAsia="Arial" w:hAnsi="Arial"/>
                <w:sz w:val="20"/>
                <w:szCs w:val="20"/>
                <w:color w:val="0000FF"/>
                <w:w w:val="80"/>
              </w:rPr>
              <w:t>69</w:t>
            </w:r>
          </w:p>
        </w:tc>
        <w:tc>
          <w:tcPr>
            <w:tcW w:w="200" w:type="dxa"/>
            <w:vAlign w:val="bottom"/>
            <w:tcBorders>
              <w:top w:val="single" w:sz="8" w:color="0000FF"/>
            </w:tcBorders>
            <w:gridSpan w:val="3"/>
          </w:tcPr>
          <w:p>
            <w:pPr>
              <w:spacing w:after="0"/>
              <w:rPr>
                <w:sz w:val="17"/>
                <w:szCs w:val="17"/>
                <w:color w:val="auto"/>
              </w:rPr>
            </w:pPr>
          </w:p>
        </w:tc>
        <w:tc>
          <w:tcPr>
            <w:tcW w:w="3860" w:type="dxa"/>
            <w:vAlign w:val="bottom"/>
            <w:gridSpan w:val="4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20" w:type="dxa"/>
            <w:vAlign w:val="bottom"/>
            <w:gridSpan w:val="4"/>
          </w:tcPr>
          <w:p>
            <w:pPr>
              <w:spacing w:after="0"/>
              <w:rPr>
                <w:sz w:val="20"/>
                <w:szCs w:val="20"/>
                <w:color w:val="auto"/>
              </w:rPr>
            </w:pPr>
            <w:r>
              <w:rPr>
                <w:rFonts w:ascii="Arial" w:cs="Arial" w:eastAsia="Arial" w:hAnsi="Arial"/>
                <w:sz w:val="20"/>
                <w:szCs w:val="20"/>
                <w:color w:val="auto"/>
                <w:w w:val="99"/>
              </w:rPr>
              <w:t>ARTICLE IV CONDITIONS</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rPr>
              <w:t>64</w:t>
            </w:r>
          </w:p>
        </w:tc>
        <w:tc>
          <w:tcPr>
            <w:tcW w:w="240" w:type="dxa"/>
            <w:vAlign w:val="bottom"/>
            <w:gridSpan w:val="7"/>
          </w:tcPr>
          <w:p>
            <w:pPr>
              <w:jc w:val="right"/>
              <w:ind w:right="40"/>
              <w:spacing w:after="0"/>
              <w:rPr>
                <w:sz w:val="20"/>
                <w:szCs w:val="20"/>
                <w:color w:val="auto"/>
              </w:rPr>
            </w:pPr>
            <w:r>
              <w:rPr>
                <w:rFonts w:ascii="Arial" w:cs="Arial" w:eastAsia="Arial" w:hAnsi="Arial"/>
                <w:sz w:val="20"/>
                <w:szCs w:val="20"/>
                <w:color w:val="0000FF"/>
                <w:w w:val="80"/>
              </w:rPr>
              <w:t>69</w:t>
            </w:r>
          </w:p>
        </w:tc>
        <w:tc>
          <w:tcPr>
            <w:tcW w:w="200" w:type="dxa"/>
            <w:vAlign w:val="bottom"/>
            <w:tcBorders>
              <w:top w:val="single" w:sz="8" w:color="0000FF"/>
            </w:tcBorders>
            <w:gridSpan w:val="4"/>
          </w:tcPr>
          <w:p>
            <w:pPr>
              <w:spacing w:after="0"/>
              <w:rPr>
                <w:sz w:val="24"/>
                <w:szCs w:val="24"/>
                <w:color w:val="auto"/>
              </w:rPr>
            </w:pPr>
          </w:p>
        </w:tc>
        <w:tc>
          <w:tcPr>
            <w:tcW w:w="4080" w:type="dxa"/>
            <w:vAlign w:val="bottom"/>
            <w:gridSpan w:val="4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40" w:type="dxa"/>
            <w:vAlign w:val="bottom"/>
            <w:gridSpan w:val="6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20"/>
                <w:szCs w:val="20"/>
                <w:color w:val="auto"/>
                <w:w w:val="86"/>
              </w:rPr>
              <w:t>Section 4.01</w:t>
            </w:r>
          </w:p>
        </w:tc>
        <w:tc>
          <w:tcPr>
            <w:tcW w:w="200" w:type="dxa"/>
            <w:vAlign w:val="bottom"/>
          </w:tcPr>
          <w:p>
            <w:pPr>
              <w:spacing w:after="0"/>
              <w:rPr>
                <w:sz w:val="24"/>
                <w:szCs w:val="24"/>
                <w:color w:val="auto"/>
              </w:rPr>
            </w:pPr>
          </w:p>
        </w:tc>
        <w:tc>
          <w:tcPr>
            <w:tcW w:w="1040" w:type="dxa"/>
            <w:vAlign w:val="bottom"/>
            <w:gridSpan w:val="10"/>
          </w:tcPr>
          <w:p>
            <w:pPr>
              <w:spacing w:after="0"/>
              <w:rPr>
                <w:sz w:val="20"/>
                <w:szCs w:val="20"/>
                <w:color w:val="auto"/>
              </w:rPr>
            </w:pPr>
            <w:r>
              <w:rPr>
                <w:rFonts w:ascii="Arial" w:cs="Arial" w:eastAsia="Arial" w:hAnsi="Arial"/>
                <w:sz w:val="20"/>
                <w:szCs w:val="20"/>
                <w:color w:val="auto"/>
                <w:w w:val="89"/>
              </w:rPr>
              <w:t>Closing Date</w:t>
            </w:r>
          </w:p>
        </w:tc>
        <w:tc>
          <w:tcPr>
            <w:tcW w:w="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64</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69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40" w:type="dxa"/>
            <w:vAlign w:val="bottom"/>
          </w:tcPr>
          <w:p>
            <w:pPr>
              <w:spacing w:after="0"/>
              <w:rPr>
                <w:sz w:val="15"/>
                <w:szCs w:val="15"/>
                <w:color w:val="auto"/>
              </w:rPr>
            </w:pPr>
          </w:p>
        </w:tc>
        <w:tc>
          <w:tcPr>
            <w:tcW w:w="980" w:type="dxa"/>
            <w:vAlign w:val="bottom"/>
          </w:tcPr>
          <w:p>
            <w:pPr>
              <w:spacing w:after="0" w:line="176" w:lineRule="exact"/>
              <w:rPr>
                <w:sz w:val="20"/>
                <w:szCs w:val="20"/>
                <w:color w:val="auto"/>
              </w:rPr>
            </w:pPr>
            <w:r>
              <w:rPr>
                <w:rFonts w:ascii="Arial" w:cs="Arial" w:eastAsia="Arial" w:hAnsi="Arial"/>
                <w:sz w:val="20"/>
                <w:szCs w:val="20"/>
                <w:color w:val="auto"/>
                <w:w w:val="86"/>
              </w:rPr>
              <w:t>Section 4.02</w:t>
            </w:r>
          </w:p>
        </w:tc>
        <w:tc>
          <w:tcPr>
            <w:tcW w:w="200" w:type="dxa"/>
            <w:vAlign w:val="bottom"/>
          </w:tcPr>
          <w:p>
            <w:pPr>
              <w:spacing w:after="0"/>
              <w:rPr>
                <w:sz w:val="15"/>
                <w:szCs w:val="15"/>
                <w:color w:val="auto"/>
              </w:rPr>
            </w:pPr>
          </w:p>
        </w:tc>
        <w:tc>
          <w:tcPr>
            <w:tcW w:w="1440" w:type="dxa"/>
            <w:vAlign w:val="bottom"/>
            <w:gridSpan w:val="19"/>
          </w:tcPr>
          <w:p>
            <w:pPr>
              <w:spacing w:after="0" w:line="176" w:lineRule="exact"/>
              <w:rPr>
                <w:sz w:val="20"/>
                <w:szCs w:val="20"/>
                <w:color w:val="auto"/>
              </w:rPr>
            </w:pPr>
            <w:r>
              <w:rPr>
                <w:rFonts w:ascii="Arial" w:cs="Arial" w:eastAsia="Arial" w:hAnsi="Arial"/>
                <w:sz w:val="20"/>
                <w:szCs w:val="20"/>
                <w:color w:val="auto"/>
                <w:w w:val="88"/>
              </w:rPr>
              <w:t>Each Credit Event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4"/>
          </w:tcPr>
          <w:p>
            <w:pPr>
              <w:jc w:val="right"/>
              <w:spacing w:after="0" w:line="176" w:lineRule="exact"/>
              <w:rPr>
                <w:sz w:val="20"/>
                <w:szCs w:val="20"/>
                <w:color w:val="auto"/>
              </w:rPr>
            </w:pPr>
            <w:r>
              <w:rPr>
                <w:rFonts w:ascii="Arial" w:cs="Arial" w:eastAsia="Arial" w:hAnsi="Arial"/>
                <w:sz w:val="20"/>
                <w:szCs w:val="20"/>
                <w:color w:val="FF0000"/>
                <w:strike w:val="1"/>
                <w:w w:val="89"/>
              </w:rPr>
              <w:t>66</w:t>
            </w:r>
          </w:p>
        </w:tc>
        <w:tc>
          <w:tcPr>
            <w:tcW w:w="120" w:type="dxa"/>
            <w:vAlign w:val="bottom"/>
            <w:gridSpan w:val="2"/>
          </w:tcPr>
          <w:p>
            <w:pPr>
              <w:jc w:val="center"/>
              <w:spacing w:after="0"/>
              <w:rPr>
                <w:sz w:val="20"/>
                <w:szCs w:val="20"/>
                <w:color w:val="auto"/>
              </w:rPr>
            </w:pPr>
            <w:r>
              <w:rPr>
                <w:rFonts w:ascii="Arial" w:cs="Arial" w:eastAsia="Arial" w:hAnsi="Arial"/>
                <w:sz w:val="15"/>
                <w:szCs w:val="15"/>
                <w:color w:val="0000FF"/>
                <w:w w:val="71"/>
              </w:rPr>
              <w:t>71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640" w:type="dxa"/>
            <w:vAlign w:val="bottom"/>
            <w:gridSpan w:val="28"/>
          </w:tcPr>
          <w:p>
            <w:pPr>
              <w:spacing w:after="0"/>
              <w:rPr>
                <w:sz w:val="20"/>
                <w:szCs w:val="20"/>
                <w:color w:val="auto"/>
              </w:rPr>
            </w:pPr>
            <w:r>
              <w:rPr>
                <w:rFonts w:ascii="Arial" w:cs="Arial" w:eastAsia="Arial" w:hAnsi="Arial"/>
                <w:sz w:val="20"/>
                <w:szCs w:val="20"/>
                <w:color w:val="auto"/>
                <w:w w:val="97"/>
              </w:rPr>
              <w:t>ARTICLE V AFFIRMATIVE COVENANTS</w:t>
            </w:r>
          </w:p>
        </w:tc>
        <w:tc>
          <w:tcPr>
            <w:tcW w:w="120" w:type="dxa"/>
            <w:vAlign w:val="bottom"/>
          </w:tcPr>
          <w:p>
            <w:pPr>
              <w:spacing w:after="0"/>
              <w:rPr>
                <w:sz w:val="24"/>
                <w:szCs w:val="24"/>
                <w:color w:val="auto"/>
              </w:rPr>
            </w:pPr>
          </w:p>
        </w:tc>
        <w:tc>
          <w:tcPr>
            <w:tcW w:w="300" w:type="dxa"/>
            <w:vAlign w:val="bottom"/>
            <w:gridSpan w:val="5"/>
          </w:tcPr>
          <w:p>
            <w:pPr>
              <w:jc w:val="right"/>
              <w:ind w:right="60"/>
              <w:spacing w:after="0"/>
              <w:rPr>
                <w:sz w:val="20"/>
                <w:szCs w:val="20"/>
                <w:color w:val="auto"/>
              </w:rPr>
            </w:pPr>
            <w:r>
              <w:rPr>
                <w:rFonts w:ascii="Arial" w:cs="Arial" w:eastAsia="Arial" w:hAnsi="Arial"/>
                <w:sz w:val="20"/>
                <w:szCs w:val="20"/>
                <w:color w:val="FF0000"/>
                <w:strike w:val="1"/>
                <w:w w:val="98"/>
              </w:rPr>
              <w:t>66</w:t>
            </w:r>
          </w:p>
        </w:tc>
        <w:tc>
          <w:tcPr>
            <w:tcW w:w="160" w:type="dxa"/>
            <w:vAlign w:val="bottom"/>
            <w:gridSpan w:val="2"/>
          </w:tcPr>
          <w:p>
            <w:pPr>
              <w:spacing w:after="0"/>
              <w:rPr>
                <w:sz w:val="20"/>
                <w:szCs w:val="20"/>
                <w:color w:val="auto"/>
              </w:rPr>
            </w:pPr>
            <w:r>
              <w:rPr>
                <w:rFonts w:ascii="Arial" w:cs="Arial" w:eastAsia="Arial" w:hAnsi="Arial"/>
                <w:sz w:val="16"/>
                <w:szCs w:val="16"/>
                <w:color w:val="0000FF"/>
                <w:w w:val="78"/>
              </w:rPr>
              <w:t>71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20" w:type="dxa"/>
            <w:vAlign w:val="bottom"/>
            <w:gridSpan w:val="2"/>
          </w:tcPr>
          <w:p>
            <w:pPr>
              <w:ind w:left="620"/>
              <w:spacing w:after="0"/>
              <w:rPr>
                <w:sz w:val="20"/>
                <w:szCs w:val="20"/>
                <w:color w:val="auto"/>
              </w:rPr>
            </w:pPr>
            <w:r>
              <w:rPr>
                <w:rFonts w:ascii="Arial" w:cs="Arial" w:eastAsia="Arial" w:hAnsi="Arial"/>
                <w:sz w:val="20"/>
                <w:szCs w:val="20"/>
                <w:color w:val="auto"/>
                <w:w w:val="88"/>
              </w:rPr>
              <w:t>Section 5.01</w:t>
            </w:r>
          </w:p>
        </w:tc>
        <w:tc>
          <w:tcPr>
            <w:tcW w:w="5220" w:type="dxa"/>
            <w:vAlign w:val="bottom"/>
            <w:gridSpan w:val="65"/>
          </w:tcPr>
          <w:p>
            <w:pPr>
              <w:ind w:left="180"/>
              <w:spacing w:after="0"/>
              <w:rPr>
                <w:sz w:val="20"/>
                <w:szCs w:val="20"/>
                <w:color w:val="auto"/>
              </w:rPr>
            </w:pPr>
            <w:r>
              <w:rPr>
                <w:rFonts w:ascii="Arial" w:cs="Arial" w:eastAsia="Arial" w:hAnsi="Arial"/>
                <w:sz w:val="20"/>
                <w:szCs w:val="20"/>
                <w:color w:val="auto"/>
                <w:w w:val="92"/>
              </w:rPr>
              <w:t>Financial Statements; Ratings Change and Other Information</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66</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71</w:t>
            </w:r>
          </w:p>
        </w:tc>
        <w:tc>
          <w:tcPr>
            <w:tcW w:w="0" w:type="dxa"/>
            <w:vAlign w:val="bottom"/>
          </w:tcPr>
          <w:p>
            <w:pPr>
              <w:spacing w:after="0"/>
              <w:rPr>
                <w:sz w:val="1"/>
                <w:szCs w:val="1"/>
                <w:color w:val="auto"/>
              </w:rPr>
            </w:pPr>
          </w:p>
        </w:tc>
      </w:tr>
      <w:tr>
        <w:trPr>
          <w:trHeight w:val="209"/>
        </w:trPr>
        <w:tc>
          <w:tcPr>
            <w:tcW w:w="1620" w:type="dxa"/>
            <w:vAlign w:val="bottom"/>
            <w:gridSpan w:val="2"/>
          </w:tcPr>
          <w:p>
            <w:pPr>
              <w:ind w:left="620"/>
              <w:spacing w:after="0" w:line="209" w:lineRule="exact"/>
              <w:rPr>
                <w:sz w:val="20"/>
                <w:szCs w:val="20"/>
                <w:color w:val="auto"/>
              </w:rPr>
            </w:pPr>
            <w:r>
              <w:rPr>
                <w:rFonts w:ascii="Arial" w:cs="Arial" w:eastAsia="Arial" w:hAnsi="Arial"/>
                <w:sz w:val="20"/>
                <w:szCs w:val="20"/>
                <w:color w:val="auto"/>
                <w:w w:val="88"/>
              </w:rPr>
              <w:t>Section 5.02</w:t>
            </w:r>
          </w:p>
        </w:tc>
        <w:tc>
          <w:tcPr>
            <w:tcW w:w="2440" w:type="dxa"/>
            <w:vAlign w:val="bottom"/>
            <w:gridSpan w:val="32"/>
          </w:tcPr>
          <w:p>
            <w:pPr>
              <w:ind w:left="180"/>
              <w:spacing w:after="0" w:line="209" w:lineRule="exact"/>
              <w:rPr>
                <w:sz w:val="20"/>
                <w:szCs w:val="20"/>
                <w:color w:val="auto"/>
              </w:rPr>
            </w:pPr>
            <w:r>
              <w:rPr>
                <w:rFonts w:ascii="Arial" w:cs="Arial" w:eastAsia="Arial" w:hAnsi="Arial"/>
                <w:sz w:val="20"/>
                <w:szCs w:val="20"/>
                <w:color w:val="auto"/>
                <w:w w:val="95"/>
              </w:rPr>
              <w:t>Notices of Material Events</w:t>
            </w:r>
          </w:p>
        </w:tc>
        <w:tc>
          <w:tcPr>
            <w:tcW w:w="260" w:type="dxa"/>
            <w:vAlign w:val="bottom"/>
            <w:gridSpan w:val="5"/>
          </w:tcPr>
          <w:p>
            <w:pPr>
              <w:ind w:left="60"/>
              <w:spacing w:after="0" w:line="209" w:lineRule="exact"/>
              <w:rPr>
                <w:sz w:val="20"/>
                <w:szCs w:val="20"/>
                <w:color w:val="auto"/>
              </w:rPr>
            </w:pPr>
            <w:r>
              <w:rPr>
                <w:rFonts w:ascii="Arial" w:cs="Arial" w:eastAsia="Arial" w:hAnsi="Arial"/>
                <w:sz w:val="20"/>
                <w:szCs w:val="20"/>
                <w:color w:val="FF0000"/>
                <w:strike w:val="1"/>
                <w:w w:val="80"/>
              </w:rPr>
              <w:t>67</w:t>
            </w:r>
          </w:p>
        </w:tc>
        <w:tc>
          <w:tcPr>
            <w:tcW w:w="280" w:type="dxa"/>
            <w:vAlign w:val="bottom"/>
            <w:gridSpan w:val="5"/>
          </w:tcPr>
          <w:p>
            <w:pPr>
              <w:jc w:val="right"/>
              <w:spacing w:after="0" w:line="209" w:lineRule="exact"/>
              <w:rPr>
                <w:sz w:val="20"/>
                <w:szCs w:val="20"/>
                <w:color w:val="auto"/>
              </w:rPr>
            </w:pPr>
            <w:r>
              <w:rPr>
                <w:rFonts w:ascii="Arial" w:cs="Arial" w:eastAsia="Arial" w:hAnsi="Arial"/>
                <w:sz w:val="20"/>
                <w:szCs w:val="20"/>
                <w:color w:val="0000FF"/>
                <w:w w:val="80"/>
              </w:rPr>
              <w:t>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20" w:type="dxa"/>
            <w:vAlign w:val="bottom"/>
            <w:gridSpan w:val="2"/>
          </w:tcPr>
          <w:p>
            <w:pPr>
              <w:ind w:left="620"/>
              <w:spacing w:after="0" w:line="196" w:lineRule="exact"/>
              <w:rPr>
                <w:sz w:val="20"/>
                <w:szCs w:val="20"/>
                <w:color w:val="auto"/>
              </w:rPr>
            </w:pPr>
            <w:r>
              <w:rPr>
                <w:rFonts w:ascii="Arial" w:cs="Arial" w:eastAsia="Arial" w:hAnsi="Arial"/>
                <w:sz w:val="20"/>
                <w:szCs w:val="20"/>
                <w:color w:val="auto"/>
                <w:w w:val="88"/>
              </w:rPr>
              <w:t>Section 5.03</w:t>
            </w:r>
          </w:p>
        </w:tc>
        <w:tc>
          <w:tcPr>
            <w:tcW w:w="2700" w:type="dxa"/>
            <w:vAlign w:val="bottom"/>
            <w:gridSpan w:val="37"/>
          </w:tcPr>
          <w:p>
            <w:pPr>
              <w:ind w:left="180"/>
              <w:spacing w:after="0" w:line="196" w:lineRule="exact"/>
              <w:rPr>
                <w:sz w:val="20"/>
                <w:szCs w:val="20"/>
                <w:color w:val="auto"/>
              </w:rPr>
            </w:pPr>
            <w:r>
              <w:rPr>
                <w:rFonts w:ascii="Arial" w:cs="Arial" w:eastAsia="Arial" w:hAnsi="Arial"/>
                <w:sz w:val="20"/>
                <w:szCs w:val="20"/>
                <w:color w:val="auto"/>
                <w:w w:val="88"/>
              </w:rPr>
              <w:t>Existence; Conduct of Business</w:t>
            </w: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gridSpan w:val="4"/>
          </w:tcPr>
          <w:p>
            <w:pPr>
              <w:jc w:val="center"/>
              <w:spacing w:after="0" w:line="196" w:lineRule="exact"/>
              <w:rPr>
                <w:sz w:val="20"/>
                <w:szCs w:val="20"/>
                <w:color w:val="auto"/>
              </w:rPr>
            </w:pPr>
            <w:r>
              <w:rPr>
                <w:rFonts w:ascii="Arial" w:cs="Arial" w:eastAsia="Arial" w:hAnsi="Arial"/>
                <w:sz w:val="20"/>
                <w:szCs w:val="20"/>
                <w:color w:val="FF0000"/>
                <w:strike w:val="1"/>
                <w:w w:val="80"/>
              </w:rPr>
              <w:t>68</w:t>
            </w:r>
          </w:p>
        </w:tc>
        <w:tc>
          <w:tcPr>
            <w:tcW w:w="200" w:type="dxa"/>
            <w:vAlign w:val="bottom"/>
            <w:tcBorders>
              <w:bottom w:val="single" w:sz="8" w:color="0000FF"/>
            </w:tcBorders>
            <w:gridSpan w:val="3"/>
          </w:tcPr>
          <w:p>
            <w:pPr>
              <w:jc w:val="right"/>
              <w:spacing w:after="0" w:line="196" w:lineRule="exact"/>
              <w:rPr>
                <w:sz w:val="20"/>
                <w:szCs w:val="20"/>
                <w:color w:val="auto"/>
              </w:rPr>
            </w:pPr>
            <w:r>
              <w:rPr>
                <w:rFonts w:ascii="Arial" w:cs="Arial" w:eastAsia="Arial" w:hAnsi="Arial"/>
                <w:sz w:val="20"/>
                <w:szCs w:val="20"/>
                <w:color w:val="0000FF"/>
                <w:w w:val="80"/>
              </w:rPr>
              <w:t>73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gridSpan w:val="2"/>
          </w:tcPr>
          <w:p>
            <w:pPr>
              <w:ind w:left="620"/>
              <w:spacing w:after="0" w:line="196" w:lineRule="exact"/>
              <w:rPr>
                <w:sz w:val="20"/>
                <w:szCs w:val="20"/>
                <w:color w:val="auto"/>
              </w:rPr>
            </w:pPr>
            <w:r>
              <w:rPr>
                <w:rFonts w:ascii="Arial" w:cs="Arial" w:eastAsia="Arial" w:hAnsi="Arial"/>
                <w:sz w:val="20"/>
                <w:szCs w:val="20"/>
                <w:color w:val="auto"/>
                <w:w w:val="88"/>
              </w:rPr>
              <w:t>Section 5.04</w:t>
            </w:r>
          </w:p>
        </w:tc>
        <w:tc>
          <w:tcPr>
            <w:tcW w:w="2260" w:type="dxa"/>
            <w:vAlign w:val="bottom"/>
            <w:gridSpan w:val="29"/>
          </w:tcPr>
          <w:p>
            <w:pPr>
              <w:ind w:left="180"/>
              <w:spacing w:after="0" w:line="196" w:lineRule="exact"/>
              <w:rPr>
                <w:sz w:val="20"/>
                <w:szCs w:val="20"/>
                <w:color w:val="auto"/>
              </w:rPr>
            </w:pPr>
            <w:r>
              <w:rPr>
                <w:rFonts w:ascii="Arial" w:cs="Arial" w:eastAsia="Arial" w:hAnsi="Arial"/>
                <w:sz w:val="20"/>
                <w:szCs w:val="20"/>
                <w:color w:val="auto"/>
                <w:w w:val="99"/>
              </w:rPr>
              <w:t>Payment of Obligations</w:t>
            </w:r>
          </w:p>
        </w:tc>
        <w:tc>
          <w:tcPr>
            <w:tcW w:w="180" w:type="dxa"/>
            <w:vAlign w:val="bottom"/>
            <w:gridSpan w:val="3"/>
          </w:tcPr>
          <w:p>
            <w:pPr>
              <w:jc w:val="right"/>
              <w:spacing w:after="0" w:line="196" w:lineRule="exact"/>
              <w:rPr>
                <w:sz w:val="20"/>
                <w:szCs w:val="20"/>
                <w:color w:val="auto"/>
              </w:rPr>
            </w:pPr>
            <w:r>
              <w:rPr>
                <w:rFonts w:ascii="Arial" w:cs="Arial" w:eastAsia="Arial" w:hAnsi="Arial"/>
                <w:sz w:val="20"/>
                <w:szCs w:val="20"/>
                <w:color w:val="FF0000"/>
                <w:strike w:val="1"/>
                <w:w w:val="80"/>
              </w:rPr>
              <w:t>68</w:t>
            </w:r>
          </w:p>
        </w:tc>
        <w:tc>
          <w:tcPr>
            <w:tcW w:w="220" w:type="dxa"/>
            <w:vAlign w:val="bottom"/>
            <w:tcBorders>
              <w:bottom w:val="single" w:sz="8" w:color="0000FF"/>
            </w:tcBorders>
            <w:gridSpan w:val="3"/>
          </w:tcPr>
          <w:p>
            <w:pPr>
              <w:ind w:left="20"/>
              <w:spacing w:after="0" w:line="196" w:lineRule="exact"/>
              <w:rPr>
                <w:sz w:val="20"/>
                <w:szCs w:val="20"/>
                <w:color w:val="auto"/>
              </w:rPr>
            </w:pPr>
            <w:r>
              <w:rPr>
                <w:rFonts w:ascii="Arial" w:cs="Arial" w:eastAsia="Arial" w:hAnsi="Arial"/>
                <w:sz w:val="20"/>
                <w:szCs w:val="20"/>
                <w:color w:val="0000FF"/>
                <w:w w:val="80"/>
              </w:rPr>
              <w:t>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20" w:type="dxa"/>
            <w:vAlign w:val="bottom"/>
            <w:gridSpan w:val="2"/>
          </w:tcPr>
          <w:p>
            <w:pPr>
              <w:ind w:left="620"/>
              <w:spacing w:after="0" w:line="209" w:lineRule="exact"/>
              <w:rPr>
                <w:sz w:val="20"/>
                <w:szCs w:val="20"/>
                <w:color w:val="auto"/>
              </w:rPr>
            </w:pPr>
            <w:r>
              <w:rPr>
                <w:rFonts w:ascii="Arial" w:cs="Arial" w:eastAsia="Arial" w:hAnsi="Arial"/>
                <w:sz w:val="20"/>
                <w:szCs w:val="20"/>
                <w:color w:val="auto"/>
                <w:w w:val="88"/>
              </w:rPr>
              <w:t>Section 5.05</w:t>
            </w:r>
          </w:p>
        </w:tc>
        <w:tc>
          <w:tcPr>
            <w:tcW w:w="3280" w:type="dxa"/>
            <w:vAlign w:val="bottom"/>
            <w:gridSpan w:val="48"/>
          </w:tcPr>
          <w:p>
            <w:pPr>
              <w:ind w:left="180"/>
              <w:spacing w:after="0" w:line="209" w:lineRule="exact"/>
              <w:rPr>
                <w:sz w:val="20"/>
                <w:szCs w:val="20"/>
                <w:color w:val="auto"/>
              </w:rPr>
            </w:pPr>
            <w:r>
              <w:rPr>
                <w:rFonts w:ascii="Arial" w:cs="Arial" w:eastAsia="Arial" w:hAnsi="Arial"/>
                <w:sz w:val="20"/>
                <w:szCs w:val="20"/>
                <w:color w:val="auto"/>
                <w:w w:val="92"/>
              </w:rPr>
              <w:t>Maintenance of Properties; Insurance</w:t>
            </w:r>
          </w:p>
        </w:tc>
        <w:tc>
          <w:tcPr>
            <w:tcW w:w="26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rPr>
              <w:t>68</w:t>
            </w:r>
          </w:p>
        </w:tc>
        <w:tc>
          <w:tcPr>
            <w:tcW w:w="200" w:type="dxa"/>
            <w:vAlign w:val="bottom"/>
            <w:tcBorders>
              <w:bottom w:val="single" w:sz="8" w:color="0000FF"/>
            </w:tcBorders>
            <w:gridSpan w:val="5"/>
          </w:tcPr>
          <w:p>
            <w:pPr>
              <w:jc w:val="right"/>
              <w:spacing w:after="0" w:line="209" w:lineRule="exact"/>
              <w:rPr>
                <w:sz w:val="20"/>
                <w:szCs w:val="20"/>
                <w:color w:val="auto"/>
              </w:rPr>
            </w:pPr>
            <w:r>
              <w:rPr>
                <w:rFonts w:ascii="Arial" w:cs="Arial" w:eastAsia="Arial" w:hAnsi="Arial"/>
                <w:sz w:val="20"/>
                <w:szCs w:val="20"/>
                <w:color w:val="0000FF"/>
                <w:w w:val="80"/>
              </w:rPr>
              <w:t>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20" w:type="dxa"/>
            <w:vAlign w:val="bottom"/>
            <w:gridSpan w:val="2"/>
          </w:tcPr>
          <w:p>
            <w:pPr>
              <w:ind w:left="620"/>
              <w:spacing w:after="0" w:line="196" w:lineRule="exact"/>
              <w:rPr>
                <w:sz w:val="20"/>
                <w:szCs w:val="20"/>
                <w:color w:val="auto"/>
              </w:rPr>
            </w:pPr>
            <w:r>
              <w:rPr>
                <w:rFonts w:ascii="Arial" w:cs="Arial" w:eastAsia="Arial" w:hAnsi="Arial"/>
                <w:sz w:val="20"/>
                <w:szCs w:val="20"/>
                <w:color w:val="auto"/>
                <w:w w:val="88"/>
              </w:rPr>
              <w:t>Section 5.06</w:t>
            </w:r>
          </w:p>
        </w:tc>
        <w:tc>
          <w:tcPr>
            <w:tcW w:w="3280" w:type="dxa"/>
            <w:vAlign w:val="bottom"/>
            <w:gridSpan w:val="48"/>
          </w:tcPr>
          <w:p>
            <w:pPr>
              <w:ind w:left="180"/>
              <w:spacing w:after="0" w:line="196" w:lineRule="exact"/>
              <w:rPr>
                <w:sz w:val="20"/>
                <w:szCs w:val="20"/>
                <w:color w:val="auto"/>
              </w:rPr>
            </w:pPr>
            <w:r>
              <w:rPr>
                <w:rFonts w:ascii="Arial" w:cs="Arial" w:eastAsia="Arial" w:hAnsi="Arial"/>
                <w:sz w:val="20"/>
                <w:szCs w:val="20"/>
                <w:color w:val="auto"/>
                <w:w w:val="90"/>
              </w:rPr>
              <w:t>Books and Records; Inspection Rights</w:t>
            </w:r>
          </w:p>
        </w:tc>
        <w:tc>
          <w:tcPr>
            <w:tcW w:w="120" w:type="dxa"/>
            <w:vAlign w:val="bottom"/>
            <w:gridSpan w:val="2"/>
          </w:tcPr>
          <w:p>
            <w:pPr>
              <w:spacing w:after="0"/>
              <w:rPr>
                <w:sz w:val="17"/>
                <w:szCs w:val="17"/>
                <w:color w:val="auto"/>
              </w:rPr>
            </w:pPr>
          </w:p>
        </w:tc>
        <w:tc>
          <w:tcPr>
            <w:tcW w:w="22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w w:val="89"/>
              </w:rPr>
              <w:t>68</w:t>
            </w:r>
          </w:p>
        </w:tc>
        <w:tc>
          <w:tcPr>
            <w:tcW w:w="220" w:type="dxa"/>
            <w:vAlign w:val="bottom"/>
            <w:gridSpan w:val="5"/>
          </w:tcPr>
          <w:p>
            <w:pPr>
              <w:spacing w:after="0" w:line="196" w:lineRule="exact"/>
              <w:rPr>
                <w:sz w:val="20"/>
                <w:szCs w:val="20"/>
                <w:color w:val="auto"/>
              </w:rPr>
            </w:pPr>
            <w:r>
              <w:rPr>
                <w:rFonts w:ascii="Arial" w:cs="Arial" w:eastAsia="Arial" w:hAnsi="Arial"/>
                <w:sz w:val="20"/>
                <w:szCs w:val="20"/>
                <w:color w:val="0000FF"/>
                <w:w w:val="89"/>
              </w:rPr>
              <w:t>73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620" w:type="dxa"/>
            <w:vAlign w:val="bottom"/>
            <w:gridSpan w:val="2"/>
          </w:tcPr>
          <w:p>
            <w:pPr>
              <w:ind w:left="620"/>
              <w:spacing w:after="0" w:line="209" w:lineRule="exact"/>
              <w:rPr>
                <w:sz w:val="20"/>
                <w:szCs w:val="20"/>
                <w:color w:val="auto"/>
              </w:rPr>
            </w:pPr>
            <w:r>
              <w:rPr>
                <w:rFonts w:ascii="Arial" w:cs="Arial" w:eastAsia="Arial" w:hAnsi="Arial"/>
                <w:sz w:val="20"/>
                <w:szCs w:val="20"/>
                <w:color w:val="auto"/>
                <w:w w:val="88"/>
              </w:rPr>
              <w:t>Section 5.07</w:t>
            </w:r>
          </w:p>
        </w:tc>
        <w:tc>
          <w:tcPr>
            <w:tcW w:w="2020" w:type="dxa"/>
            <w:vAlign w:val="bottom"/>
            <w:gridSpan w:val="26"/>
          </w:tcPr>
          <w:p>
            <w:pPr>
              <w:ind w:left="180"/>
              <w:spacing w:after="0" w:line="209" w:lineRule="exact"/>
              <w:rPr>
                <w:sz w:val="20"/>
                <w:szCs w:val="20"/>
                <w:color w:val="auto"/>
              </w:rPr>
            </w:pPr>
            <w:r>
              <w:rPr>
                <w:rFonts w:ascii="Arial" w:cs="Arial" w:eastAsia="Arial" w:hAnsi="Arial"/>
                <w:sz w:val="20"/>
                <w:szCs w:val="20"/>
                <w:color w:val="auto"/>
                <w:w w:val="91"/>
              </w:rPr>
              <w:t>Compliance with Laws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4"/>
          </w:tcPr>
          <w:p>
            <w:pPr>
              <w:spacing w:after="0" w:line="209" w:lineRule="exact"/>
              <w:rPr>
                <w:sz w:val="20"/>
                <w:szCs w:val="20"/>
                <w:color w:val="auto"/>
              </w:rPr>
            </w:pPr>
            <w:r>
              <w:rPr>
                <w:rFonts w:ascii="Arial" w:cs="Arial" w:eastAsia="Arial" w:hAnsi="Arial"/>
                <w:sz w:val="20"/>
                <w:szCs w:val="20"/>
                <w:color w:val="FF0000"/>
                <w:strike w:val="1"/>
                <w:w w:val="71"/>
              </w:rPr>
              <w:t>69</w:t>
            </w:r>
          </w:p>
        </w:tc>
        <w:tc>
          <w:tcPr>
            <w:tcW w:w="1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78"/>
              </w:rPr>
              <w:t>73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20" w:type="dxa"/>
            <w:vAlign w:val="bottom"/>
            <w:gridSpan w:val="2"/>
          </w:tcPr>
          <w:p>
            <w:pPr>
              <w:ind w:left="620"/>
              <w:spacing w:after="0" w:line="196" w:lineRule="exact"/>
              <w:rPr>
                <w:sz w:val="20"/>
                <w:szCs w:val="20"/>
                <w:color w:val="auto"/>
              </w:rPr>
            </w:pPr>
            <w:r>
              <w:rPr>
                <w:rFonts w:ascii="Arial" w:cs="Arial" w:eastAsia="Arial" w:hAnsi="Arial"/>
                <w:sz w:val="20"/>
                <w:szCs w:val="20"/>
                <w:color w:val="auto"/>
                <w:w w:val="88"/>
              </w:rPr>
              <w:t>Section 5.08</w:t>
            </w:r>
          </w:p>
        </w:tc>
        <w:tc>
          <w:tcPr>
            <w:tcW w:w="2440" w:type="dxa"/>
            <w:vAlign w:val="bottom"/>
            <w:gridSpan w:val="32"/>
          </w:tcPr>
          <w:p>
            <w:pPr>
              <w:ind w:left="180"/>
              <w:spacing w:after="0" w:line="196" w:lineRule="exact"/>
              <w:rPr>
                <w:sz w:val="20"/>
                <w:szCs w:val="20"/>
                <w:color w:val="auto"/>
              </w:rPr>
            </w:pPr>
            <w:r>
              <w:rPr>
                <w:rFonts w:ascii="Arial" w:cs="Arial" w:eastAsia="Arial" w:hAnsi="Arial"/>
                <w:sz w:val="20"/>
                <w:szCs w:val="20"/>
                <w:color w:val="auto"/>
                <w:w w:val="87"/>
              </w:rPr>
              <w:t>Use of Proceeds and Letters</w:t>
            </w:r>
          </w:p>
        </w:tc>
        <w:tc>
          <w:tcPr>
            <w:tcW w:w="160" w:type="dxa"/>
            <w:vAlign w:val="bottom"/>
            <w:gridSpan w:val="2"/>
          </w:tcPr>
          <w:p>
            <w:pPr>
              <w:ind w:left="20"/>
              <w:spacing w:after="0" w:line="196" w:lineRule="exact"/>
              <w:rPr>
                <w:sz w:val="20"/>
                <w:szCs w:val="20"/>
                <w:color w:val="auto"/>
              </w:rPr>
            </w:pPr>
            <w:r>
              <w:rPr>
                <w:rFonts w:ascii="Arial" w:cs="Arial" w:eastAsia="Arial" w:hAnsi="Arial"/>
                <w:sz w:val="20"/>
                <w:szCs w:val="20"/>
                <w:color w:val="auto"/>
                <w:w w:val="71"/>
              </w:rPr>
              <w:t>of</w:t>
            </w:r>
          </w:p>
        </w:tc>
        <w:tc>
          <w:tcPr>
            <w:tcW w:w="680" w:type="dxa"/>
            <w:vAlign w:val="bottom"/>
            <w:gridSpan w:val="14"/>
          </w:tcPr>
          <w:p>
            <w:pPr>
              <w:ind w:left="60"/>
              <w:spacing w:after="0" w:line="196" w:lineRule="exact"/>
              <w:rPr>
                <w:sz w:val="20"/>
                <w:szCs w:val="20"/>
                <w:color w:val="auto"/>
              </w:rPr>
            </w:pPr>
            <w:r>
              <w:rPr>
                <w:rFonts w:ascii="Arial" w:cs="Arial" w:eastAsia="Arial" w:hAnsi="Arial"/>
                <w:sz w:val="20"/>
                <w:szCs w:val="20"/>
                <w:color w:val="auto"/>
              </w:rPr>
              <w:t>Credit</w:t>
            </w:r>
          </w:p>
        </w:tc>
        <w:tc>
          <w:tcPr>
            <w:tcW w:w="280" w:type="dxa"/>
            <w:vAlign w:val="bottom"/>
            <w:gridSpan w:val="5"/>
          </w:tcPr>
          <w:p>
            <w:pPr>
              <w:jc w:val="right"/>
              <w:spacing w:after="0" w:line="196" w:lineRule="exact"/>
              <w:rPr>
                <w:sz w:val="20"/>
                <w:szCs w:val="20"/>
                <w:color w:val="auto"/>
              </w:rPr>
            </w:pPr>
            <w:r>
              <w:rPr>
                <w:rFonts w:ascii="Arial" w:cs="Arial" w:eastAsia="Arial" w:hAnsi="Arial"/>
                <w:sz w:val="20"/>
                <w:szCs w:val="20"/>
                <w:color w:val="FF0000"/>
                <w:strike w:val="1"/>
              </w:rPr>
              <w:t>69</w:t>
            </w:r>
          </w:p>
        </w:tc>
        <w:tc>
          <w:tcPr>
            <w:tcW w:w="20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20"/>
                <w:szCs w:val="20"/>
                <w:color w:val="0000FF"/>
                <w:w w:val="80"/>
              </w:rPr>
              <w:t>74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620" w:type="dxa"/>
            <w:vAlign w:val="bottom"/>
            <w:gridSpan w:val="2"/>
          </w:tcPr>
          <w:p>
            <w:pPr>
              <w:ind w:left="620"/>
              <w:spacing w:after="0" w:line="183" w:lineRule="exact"/>
              <w:rPr>
                <w:sz w:val="20"/>
                <w:szCs w:val="20"/>
                <w:color w:val="auto"/>
              </w:rPr>
            </w:pPr>
            <w:r>
              <w:rPr>
                <w:rFonts w:ascii="Arial" w:cs="Arial" w:eastAsia="Arial" w:hAnsi="Arial"/>
                <w:sz w:val="20"/>
                <w:szCs w:val="20"/>
                <w:color w:val="auto"/>
                <w:w w:val="88"/>
              </w:rPr>
              <w:t>Section 5.09</w:t>
            </w:r>
          </w:p>
        </w:tc>
        <w:tc>
          <w:tcPr>
            <w:tcW w:w="2900" w:type="dxa"/>
            <w:vAlign w:val="bottom"/>
            <w:gridSpan w:val="41"/>
          </w:tcPr>
          <w:p>
            <w:pPr>
              <w:ind w:left="180"/>
              <w:spacing w:after="0" w:line="183" w:lineRule="exact"/>
              <w:rPr>
                <w:sz w:val="20"/>
                <w:szCs w:val="20"/>
                <w:color w:val="auto"/>
              </w:rPr>
            </w:pPr>
            <w:r>
              <w:rPr>
                <w:rFonts w:ascii="Arial" w:cs="Arial" w:eastAsia="Arial" w:hAnsi="Arial"/>
                <w:sz w:val="20"/>
                <w:szCs w:val="20"/>
                <w:color w:val="auto"/>
                <w:w w:val="92"/>
              </w:rPr>
              <w:t>Additional Subsidiary Guarantors</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tcPr>
          <w:p>
            <w:pPr>
              <w:jc w:val="right"/>
              <w:spacing w:after="0" w:line="183" w:lineRule="exact"/>
              <w:rPr>
                <w:sz w:val="20"/>
                <w:szCs w:val="20"/>
                <w:color w:val="auto"/>
              </w:rPr>
            </w:pPr>
            <w:r>
              <w:rPr>
                <w:rFonts w:ascii="Arial" w:cs="Arial" w:eastAsia="Arial" w:hAnsi="Arial"/>
                <w:sz w:val="20"/>
                <w:szCs w:val="20"/>
                <w:color w:val="FF0000"/>
                <w:strike w:val="1"/>
                <w:w w:val="80"/>
              </w:rPr>
              <w:t>69</w:t>
            </w:r>
          </w:p>
        </w:tc>
        <w:tc>
          <w:tcPr>
            <w:tcW w:w="200" w:type="dxa"/>
            <w:vAlign w:val="bottom"/>
            <w:tcBorders>
              <w:bottom w:val="single" w:sz="8" w:color="0000FF"/>
            </w:tcBorders>
            <w:gridSpan w:val="4"/>
          </w:tcPr>
          <w:p>
            <w:pPr>
              <w:jc w:val="right"/>
              <w:spacing w:after="0" w:line="183" w:lineRule="exact"/>
              <w:rPr>
                <w:sz w:val="20"/>
                <w:szCs w:val="20"/>
                <w:color w:val="auto"/>
              </w:rPr>
            </w:pPr>
            <w:r>
              <w:rPr>
                <w:rFonts w:ascii="Arial" w:cs="Arial" w:eastAsia="Arial" w:hAnsi="Arial"/>
                <w:sz w:val="20"/>
                <w:szCs w:val="20"/>
                <w:color w:val="0000FF"/>
                <w:w w:val="80"/>
              </w:rPr>
              <w:t>74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3360" w:type="dxa"/>
            <w:vAlign w:val="bottom"/>
            <w:gridSpan w:val="23"/>
          </w:tcPr>
          <w:p>
            <w:pPr>
              <w:spacing w:after="0"/>
              <w:rPr>
                <w:sz w:val="20"/>
                <w:szCs w:val="20"/>
                <w:color w:val="auto"/>
              </w:rPr>
            </w:pPr>
            <w:r>
              <w:rPr>
                <w:rFonts w:ascii="Arial" w:cs="Arial" w:eastAsia="Arial" w:hAnsi="Arial"/>
                <w:sz w:val="20"/>
                <w:szCs w:val="20"/>
                <w:color w:val="auto"/>
                <w:w w:val="96"/>
              </w:rPr>
              <w:t>ARTICLE VI NEGATIVE COVENANTS</w:t>
            </w:r>
          </w:p>
        </w:tc>
        <w:tc>
          <w:tcPr>
            <w:tcW w:w="100" w:type="dxa"/>
            <w:vAlign w:val="bottom"/>
            <w:gridSpan w:val="2"/>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rPr>
              <w:t>69</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71"/>
              </w:rPr>
              <w:t>74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20"/>
                <w:szCs w:val="20"/>
                <w:color w:val="auto"/>
                <w:w w:val="86"/>
              </w:rPr>
              <w:t>Section 6.01</w:t>
            </w:r>
          </w:p>
        </w:tc>
        <w:tc>
          <w:tcPr>
            <w:tcW w:w="200" w:type="dxa"/>
            <w:vAlign w:val="bottom"/>
          </w:tcPr>
          <w:p>
            <w:pPr>
              <w:spacing w:after="0"/>
              <w:rPr>
                <w:sz w:val="24"/>
                <w:szCs w:val="24"/>
                <w:color w:val="auto"/>
              </w:rPr>
            </w:pPr>
          </w:p>
        </w:tc>
        <w:tc>
          <w:tcPr>
            <w:tcW w:w="1820" w:type="dxa"/>
            <w:vAlign w:val="bottom"/>
            <w:gridSpan w:val="25"/>
          </w:tcPr>
          <w:p>
            <w:pPr>
              <w:spacing w:after="0"/>
              <w:rPr>
                <w:sz w:val="20"/>
                <w:szCs w:val="20"/>
                <w:color w:val="auto"/>
              </w:rPr>
            </w:pPr>
            <w:r>
              <w:rPr>
                <w:rFonts w:ascii="Arial" w:cs="Arial" w:eastAsia="Arial" w:hAnsi="Arial"/>
                <w:sz w:val="20"/>
                <w:szCs w:val="20"/>
                <w:color w:val="auto"/>
                <w:w w:val="95"/>
              </w:rPr>
              <w:t>Changes in Business</w:t>
            </w:r>
          </w:p>
        </w:tc>
        <w:tc>
          <w:tcPr>
            <w:tcW w:w="1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2"/>
                <w:szCs w:val="12"/>
                <w:color w:val="FF0000"/>
                <w:strike w:val="1"/>
                <w:w w:val="74"/>
              </w:rPr>
              <w:t>70</w:t>
            </w:r>
          </w:p>
        </w:tc>
        <w:tc>
          <w:tcPr>
            <w:tcW w:w="200" w:type="dxa"/>
            <w:vAlign w:val="bottom"/>
            <w:gridSpan w:val="4"/>
          </w:tcPr>
          <w:p>
            <w:pPr>
              <w:jc w:val="right"/>
              <w:spacing w:after="0"/>
              <w:rPr>
                <w:sz w:val="20"/>
                <w:szCs w:val="20"/>
                <w:color w:val="auto"/>
              </w:rPr>
            </w:pPr>
            <w:r>
              <w:rPr>
                <w:rFonts w:ascii="Arial" w:cs="Arial" w:eastAsia="Arial" w:hAnsi="Arial"/>
                <w:sz w:val="20"/>
                <w:szCs w:val="20"/>
                <w:color w:val="0000FF"/>
                <w:w w:val="80"/>
              </w:rPr>
              <w:t>74</w:t>
            </w:r>
          </w:p>
        </w:tc>
        <w:tc>
          <w:tcPr>
            <w:tcW w:w="1120" w:type="dxa"/>
            <w:vAlign w:val="bottom"/>
            <w:gridSpan w:val="21"/>
            <w:vMerge w:val="restart"/>
          </w:tcPr>
          <w:p>
            <w:pPr>
              <w:jc w:val="center"/>
              <w:spacing w:after="0"/>
              <w:rPr>
                <w:sz w:val="20"/>
                <w:szCs w:val="20"/>
                <w:color w:val="auto"/>
              </w:rPr>
            </w:pPr>
            <w:r>
              <w:rPr>
                <w:rFonts w:ascii="Arial" w:cs="Arial" w:eastAsia="Arial" w:hAnsi="Arial"/>
                <w:sz w:val="20"/>
                <w:szCs w:val="20"/>
                <w:color w:val="auto"/>
                <w:w w:val="85"/>
              </w:rPr>
              <w:t>Sales, etc.</w:t>
            </w:r>
          </w:p>
        </w:tc>
        <w:tc>
          <w:tcPr>
            <w:tcW w:w="200" w:type="dxa"/>
            <w:vAlign w:val="bottom"/>
            <w:gridSpan w:val="5"/>
            <w:vMerge w:val="restart"/>
          </w:tcPr>
          <w:p>
            <w:pPr>
              <w:jc w:val="right"/>
              <w:spacing w:after="0"/>
              <w:rPr>
                <w:sz w:val="20"/>
                <w:szCs w:val="20"/>
                <w:color w:val="auto"/>
              </w:rPr>
            </w:pPr>
            <w:r>
              <w:rPr>
                <w:rFonts w:ascii="Arial" w:cs="Arial" w:eastAsia="Arial" w:hAnsi="Arial"/>
                <w:sz w:val="20"/>
                <w:szCs w:val="20"/>
                <w:color w:val="FF0000"/>
                <w:strike w:val="1"/>
                <w:w w:val="80"/>
              </w:rPr>
              <w:t>70</w:t>
            </w:r>
          </w:p>
        </w:tc>
        <w:tc>
          <w:tcPr>
            <w:tcW w:w="200" w:type="dxa"/>
            <w:vAlign w:val="bottom"/>
            <w:gridSpan w:val="3"/>
            <w:vMerge w:val="restart"/>
          </w:tcPr>
          <w:p>
            <w:pPr>
              <w:jc w:val="right"/>
              <w:spacing w:after="0"/>
              <w:rPr>
                <w:sz w:val="20"/>
                <w:szCs w:val="20"/>
                <w:color w:val="auto"/>
              </w:rPr>
            </w:pPr>
            <w:r>
              <w:rPr>
                <w:rFonts w:ascii="Arial" w:cs="Arial" w:eastAsia="Arial" w:hAnsi="Arial"/>
                <w:sz w:val="20"/>
                <w:szCs w:val="20"/>
                <w:color w:val="0000FF"/>
                <w:w w:val="80"/>
              </w:rPr>
              <w:t>74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gridSpan w:val="21"/>
            <w:vMerge w:val="continue"/>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40" w:type="dxa"/>
            <w:vAlign w:val="bottom"/>
          </w:tcPr>
          <w:p>
            <w:pPr>
              <w:spacing w:after="0"/>
              <w:rPr>
                <w:sz w:val="17"/>
                <w:szCs w:val="17"/>
                <w:color w:val="auto"/>
              </w:rPr>
            </w:pPr>
          </w:p>
        </w:tc>
        <w:tc>
          <w:tcPr>
            <w:tcW w:w="3420" w:type="dxa"/>
            <w:vAlign w:val="bottom"/>
            <w:gridSpan w:val="33"/>
          </w:tcPr>
          <w:p>
            <w:pPr>
              <w:spacing w:after="0" w:line="196" w:lineRule="exact"/>
              <w:rPr>
                <w:sz w:val="20"/>
                <w:szCs w:val="20"/>
                <w:color w:val="auto"/>
              </w:rPr>
            </w:pPr>
            <w:r>
              <w:rPr>
                <w:rFonts w:ascii="Arial" w:cs="Arial" w:eastAsia="Arial" w:hAnsi="Arial"/>
                <w:sz w:val="20"/>
                <w:szCs w:val="20"/>
                <w:color w:val="auto"/>
                <w:w w:val="89"/>
              </w:rPr>
              <w:t>Section 6.02  Consolidation, Merger, Asset</w:t>
            </w:r>
          </w:p>
        </w:tc>
        <w:tc>
          <w:tcPr>
            <w:tcW w:w="1120" w:type="dxa"/>
            <w:vAlign w:val="bottom"/>
            <w:gridSpan w:val="21"/>
            <w:vMerge w:val="continue"/>
          </w:tcPr>
          <w:p>
            <w:pPr>
              <w:spacing w:after="0"/>
              <w:rPr>
                <w:sz w:val="17"/>
                <w:szCs w:val="17"/>
                <w:color w:val="auto"/>
              </w:rPr>
            </w:pPr>
          </w:p>
        </w:tc>
        <w:tc>
          <w:tcPr>
            <w:tcW w:w="200" w:type="dxa"/>
            <w:vAlign w:val="bottom"/>
            <w:gridSpan w:val="5"/>
            <w:vMerge w:val="continue"/>
          </w:tcPr>
          <w:p>
            <w:pPr>
              <w:spacing w:after="0"/>
              <w:rPr>
                <w:sz w:val="17"/>
                <w:szCs w:val="17"/>
                <w:color w:val="auto"/>
              </w:rPr>
            </w:pPr>
          </w:p>
        </w:tc>
        <w:tc>
          <w:tcPr>
            <w:tcW w:w="200" w:type="dxa"/>
            <w:vAlign w:val="bottom"/>
            <w:tcBorders>
              <w:bottom w:val="single" w:sz="8" w:color="0000FF"/>
            </w:tcBorders>
            <w:gridSpan w:val="3"/>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gridSpan w:val="3"/>
          </w:tcPr>
          <w:p>
            <w:pPr>
              <w:spacing w:after="0"/>
              <w:rPr>
                <w:sz w:val="20"/>
                <w:szCs w:val="20"/>
                <w:color w:val="auto"/>
              </w:rPr>
            </w:pPr>
            <w:r>
              <w:rPr>
                <w:rFonts w:ascii="Arial" w:cs="Arial" w:eastAsia="Arial" w:hAnsi="Arial"/>
                <w:sz w:val="20"/>
                <w:szCs w:val="20"/>
                <w:color w:val="auto"/>
              </w:rPr>
              <w:t>Section 6.03</w:t>
            </w:r>
          </w:p>
        </w:tc>
        <w:tc>
          <w:tcPr>
            <w:tcW w:w="600" w:type="dxa"/>
            <w:vAlign w:val="bottom"/>
          </w:tcPr>
          <w:p>
            <w:pPr>
              <w:spacing w:after="0" w:line="196" w:lineRule="exact"/>
              <w:rPr>
                <w:sz w:val="20"/>
                <w:szCs w:val="20"/>
                <w:color w:val="auto"/>
              </w:rPr>
            </w:pPr>
            <w:r>
              <w:rPr>
                <w:rFonts w:ascii="Arial" w:cs="Arial" w:eastAsia="Arial" w:hAnsi="Arial"/>
                <w:sz w:val="20"/>
                <w:szCs w:val="20"/>
                <w:color w:val="auto"/>
              </w:rPr>
              <w:t>Liens</w:t>
            </w:r>
          </w:p>
        </w:tc>
        <w:tc>
          <w:tcPr>
            <w:tcW w:w="240" w:type="dxa"/>
            <w:vAlign w:val="bottom"/>
            <w:gridSpan w:val="3"/>
          </w:tcPr>
          <w:p>
            <w:pPr>
              <w:jc w:val="right"/>
              <w:spacing w:after="0" w:line="196" w:lineRule="exact"/>
              <w:rPr>
                <w:sz w:val="20"/>
                <w:szCs w:val="20"/>
                <w:color w:val="auto"/>
              </w:rPr>
            </w:pPr>
            <w:r>
              <w:rPr>
                <w:rFonts w:ascii="Arial" w:cs="Arial" w:eastAsia="Arial" w:hAnsi="Arial"/>
                <w:sz w:val="20"/>
                <w:szCs w:val="20"/>
                <w:color w:val="FF0000"/>
                <w:strike w:val="1"/>
                <w:w w:val="98"/>
              </w:rPr>
              <w:t>70</w:t>
            </w:r>
          </w:p>
        </w:tc>
        <w:tc>
          <w:tcPr>
            <w:tcW w:w="200" w:type="dxa"/>
            <w:vAlign w:val="bottom"/>
            <w:tcBorders>
              <w:bottom w:val="single" w:sz="8" w:color="0000FF"/>
            </w:tcBorders>
            <w:gridSpan w:val="6"/>
          </w:tcPr>
          <w:p>
            <w:pPr>
              <w:jc w:val="right"/>
              <w:spacing w:after="0" w:line="196" w:lineRule="exact"/>
              <w:rPr>
                <w:sz w:val="20"/>
                <w:szCs w:val="20"/>
                <w:color w:val="auto"/>
              </w:rPr>
            </w:pPr>
            <w:r>
              <w:rPr>
                <w:rFonts w:ascii="Arial" w:cs="Arial" w:eastAsia="Arial" w:hAnsi="Arial"/>
                <w:sz w:val="20"/>
                <w:szCs w:val="20"/>
                <w:color w:val="0000FF"/>
                <w:w w:val="80"/>
              </w:rPr>
              <w:t>75</w:t>
            </w:r>
          </w:p>
        </w:tc>
        <w:tc>
          <w:tcPr>
            <w:tcW w:w="4380" w:type="dxa"/>
            <w:vAlign w:val="bottom"/>
            <w:gridSpan w:val="56"/>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980" w:type="dxa"/>
            <w:vAlign w:val="bottom"/>
          </w:tcPr>
          <w:p>
            <w:pPr>
              <w:spacing w:after="0" w:line="209" w:lineRule="exact"/>
              <w:rPr>
                <w:sz w:val="20"/>
                <w:szCs w:val="20"/>
                <w:color w:val="auto"/>
              </w:rPr>
            </w:pPr>
            <w:r>
              <w:rPr>
                <w:rFonts w:ascii="Arial" w:cs="Arial" w:eastAsia="Arial" w:hAnsi="Arial"/>
                <w:sz w:val="20"/>
                <w:szCs w:val="20"/>
                <w:color w:val="auto"/>
                <w:w w:val="86"/>
              </w:rPr>
              <w:t>Section 6.04</w:t>
            </w:r>
          </w:p>
        </w:tc>
        <w:tc>
          <w:tcPr>
            <w:tcW w:w="200" w:type="dxa"/>
            <w:vAlign w:val="bottom"/>
          </w:tcPr>
          <w:p>
            <w:pPr>
              <w:spacing w:after="0"/>
              <w:rPr>
                <w:sz w:val="18"/>
                <w:szCs w:val="18"/>
                <w:color w:val="auto"/>
              </w:rPr>
            </w:pPr>
          </w:p>
        </w:tc>
        <w:tc>
          <w:tcPr>
            <w:tcW w:w="3800" w:type="dxa"/>
            <w:vAlign w:val="bottom"/>
            <w:gridSpan w:val="61"/>
          </w:tcPr>
          <w:p>
            <w:pPr>
              <w:spacing w:after="0" w:line="209" w:lineRule="exact"/>
              <w:rPr>
                <w:sz w:val="20"/>
                <w:szCs w:val="20"/>
                <w:color w:val="auto"/>
              </w:rPr>
            </w:pPr>
            <w:r>
              <w:rPr>
                <w:rFonts w:ascii="Arial" w:cs="Arial" w:eastAsia="Arial" w:hAnsi="Arial"/>
                <w:sz w:val="20"/>
                <w:szCs w:val="20"/>
                <w:color w:val="auto"/>
                <w:w w:val="93"/>
              </w:rPr>
              <w:t>Indebtedness of Non-Loan Party Subsidiaries</w:t>
            </w:r>
          </w:p>
        </w:tc>
        <w:tc>
          <w:tcPr>
            <w:tcW w:w="200" w:type="dxa"/>
            <w:vAlign w:val="bottom"/>
          </w:tcPr>
          <w:p>
            <w:pPr>
              <w:jc w:val="right"/>
              <w:spacing w:after="0" w:line="209" w:lineRule="exact"/>
              <w:rPr>
                <w:sz w:val="20"/>
                <w:szCs w:val="20"/>
                <w:color w:val="auto"/>
              </w:rPr>
            </w:pPr>
            <w:r>
              <w:rPr>
                <w:rFonts w:ascii="Arial" w:cs="Arial" w:eastAsia="Arial" w:hAnsi="Arial"/>
                <w:sz w:val="20"/>
                <w:szCs w:val="20"/>
                <w:color w:val="FF0000"/>
                <w:strike w:val="1"/>
                <w:w w:val="80"/>
              </w:rPr>
              <w:t>72</w:t>
            </w:r>
          </w:p>
        </w:tc>
        <w:tc>
          <w:tcPr>
            <w:tcW w:w="1420" w:type="dxa"/>
            <w:vAlign w:val="bottom"/>
            <w:gridSpan w:val="4"/>
          </w:tcPr>
          <w:p>
            <w:pPr>
              <w:jc w:val="right"/>
              <w:ind w:right="1121"/>
              <w:spacing w:after="0" w:line="209" w:lineRule="exact"/>
              <w:rPr>
                <w:sz w:val="20"/>
                <w:szCs w:val="20"/>
                <w:color w:val="auto"/>
              </w:rPr>
            </w:pPr>
            <w:r>
              <w:rPr>
                <w:rFonts w:ascii="Arial" w:cs="Arial" w:eastAsia="Arial" w:hAnsi="Arial"/>
                <w:sz w:val="20"/>
                <w:szCs w:val="20"/>
                <w:color w:val="0000FF"/>
                <w:w w:val="80"/>
              </w:rPr>
              <w:t>76</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Arial" w:cs="Arial" w:eastAsia="Arial" w:hAnsi="Arial"/>
                <w:sz w:val="20"/>
                <w:szCs w:val="20"/>
                <w:color w:val="auto"/>
                <w:w w:val="86"/>
              </w:rPr>
              <w:t>Section 6.06</w:t>
            </w:r>
          </w:p>
        </w:tc>
        <w:tc>
          <w:tcPr>
            <w:tcW w:w="200" w:type="dxa"/>
            <w:vAlign w:val="bottom"/>
          </w:tcPr>
          <w:p>
            <w:pPr>
              <w:spacing w:after="0"/>
              <w:rPr>
                <w:sz w:val="17"/>
                <w:szCs w:val="17"/>
                <w:color w:val="auto"/>
              </w:rPr>
            </w:pPr>
          </w:p>
        </w:tc>
        <w:tc>
          <w:tcPr>
            <w:tcW w:w="1820" w:type="dxa"/>
            <w:vAlign w:val="bottom"/>
            <w:gridSpan w:val="25"/>
          </w:tcPr>
          <w:p>
            <w:pPr>
              <w:spacing w:after="0" w:line="196" w:lineRule="exact"/>
              <w:rPr>
                <w:sz w:val="20"/>
                <w:szCs w:val="20"/>
                <w:color w:val="auto"/>
              </w:rPr>
            </w:pPr>
            <w:r>
              <w:rPr>
                <w:rFonts w:ascii="Arial" w:cs="Arial" w:eastAsia="Arial" w:hAnsi="Arial"/>
                <w:sz w:val="20"/>
                <w:szCs w:val="20"/>
                <w:color w:val="auto"/>
                <w:w w:val="99"/>
              </w:rPr>
              <w:t>Financial Covenants</w:t>
            </w:r>
          </w:p>
        </w:tc>
        <w:tc>
          <w:tcPr>
            <w:tcW w:w="220" w:type="dxa"/>
            <w:vAlign w:val="bottom"/>
            <w:gridSpan w:val="2"/>
          </w:tcPr>
          <w:p>
            <w:pPr>
              <w:jc w:val="center"/>
              <w:spacing w:after="0" w:line="196" w:lineRule="exact"/>
              <w:rPr>
                <w:sz w:val="20"/>
                <w:szCs w:val="20"/>
                <w:color w:val="auto"/>
              </w:rPr>
            </w:pPr>
            <w:r>
              <w:rPr>
                <w:rFonts w:ascii="Arial" w:cs="Arial" w:eastAsia="Arial" w:hAnsi="Arial"/>
                <w:sz w:val="20"/>
                <w:szCs w:val="20"/>
                <w:color w:val="FF0000"/>
                <w:strike w:val="1"/>
                <w:w w:val="89"/>
              </w:rPr>
              <w:t>73</w:t>
            </w:r>
          </w:p>
        </w:tc>
        <w:tc>
          <w:tcPr>
            <w:tcW w:w="2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20"/>
                <w:szCs w:val="20"/>
                <w:color w:val="0000FF"/>
                <w:w w:val="71"/>
              </w:rPr>
              <w:t>78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Arial" w:cs="Arial" w:eastAsia="Arial" w:hAnsi="Arial"/>
                <w:sz w:val="20"/>
                <w:szCs w:val="20"/>
                <w:color w:val="auto"/>
                <w:w w:val="86"/>
              </w:rPr>
              <w:t>Section 6.08</w:t>
            </w:r>
          </w:p>
        </w:tc>
        <w:tc>
          <w:tcPr>
            <w:tcW w:w="2240" w:type="dxa"/>
            <w:vAlign w:val="bottom"/>
            <w:gridSpan w:val="28"/>
          </w:tcPr>
          <w:p>
            <w:pPr>
              <w:ind w:left="200"/>
              <w:spacing w:after="0" w:line="196" w:lineRule="exact"/>
              <w:rPr>
                <w:sz w:val="20"/>
                <w:szCs w:val="20"/>
                <w:color w:val="auto"/>
              </w:rPr>
            </w:pPr>
            <w:r>
              <w:rPr>
                <w:rFonts w:ascii="Arial" w:cs="Arial" w:eastAsia="Arial" w:hAnsi="Arial"/>
                <w:sz w:val="20"/>
                <w:szCs w:val="20"/>
                <w:color w:val="auto"/>
                <w:w w:val="84"/>
              </w:rPr>
              <w:t>Transactions with Affiliates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20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w w:val="80"/>
              </w:rPr>
              <w:t>73</w:t>
            </w:r>
          </w:p>
        </w:tc>
        <w:tc>
          <w:tcPr>
            <w:tcW w:w="20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20"/>
                <w:szCs w:val="20"/>
                <w:color w:val="0000FF"/>
                <w:w w:val="80"/>
              </w:rPr>
              <w:t>78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980" w:type="dxa"/>
            <w:vAlign w:val="bottom"/>
          </w:tcPr>
          <w:p>
            <w:pPr>
              <w:spacing w:after="0" w:line="209" w:lineRule="exact"/>
              <w:rPr>
                <w:sz w:val="20"/>
                <w:szCs w:val="20"/>
                <w:color w:val="auto"/>
              </w:rPr>
            </w:pPr>
            <w:r>
              <w:rPr>
                <w:rFonts w:ascii="Arial" w:cs="Arial" w:eastAsia="Arial" w:hAnsi="Arial"/>
                <w:sz w:val="20"/>
                <w:szCs w:val="20"/>
                <w:color w:val="auto"/>
                <w:w w:val="86"/>
              </w:rPr>
              <w:t>Section 6.09</w:t>
            </w:r>
          </w:p>
        </w:tc>
        <w:tc>
          <w:tcPr>
            <w:tcW w:w="200" w:type="dxa"/>
            <w:vAlign w:val="bottom"/>
          </w:tcPr>
          <w:p>
            <w:pPr>
              <w:spacing w:after="0"/>
              <w:rPr>
                <w:sz w:val="18"/>
                <w:szCs w:val="18"/>
                <w:color w:val="auto"/>
              </w:rPr>
            </w:pPr>
          </w:p>
        </w:tc>
        <w:tc>
          <w:tcPr>
            <w:tcW w:w="2700" w:type="dxa"/>
            <w:vAlign w:val="bottom"/>
            <w:gridSpan w:val="40"/>
          </w:tcPr>
          <w:p>
            <w:pPr>
              <w:spacing w:after="0" w:line="209" w:lineRule="exact"/>
              <w:rPr>
                <w:sz w:val="20"/>
                <w:szCs w:val="20"/>
                <w:color w:val="auto"/>
              </w:rPr>
            </w:pPr>
            <w:r>
              <w:rPr>
                <w:rFonts w:ascii="Arial" w:cs="Arial" w:eastAsia="Arial" w:hAnsi="Arial"/>
                <w:sz w:val="20"/>
                <w:szCs w:val="20"/>
                <w:color w:val="auto"/>
                <w:w w:val="92"/>
              </w:rPr>
              <w:t>Sanctions Laws and Regulations</w:t>
            </w:r>
          </w:p>
        </w:tc>
        <w:tc>
          <w:tcPr>
            <w:tcW w:w="80" w:type="dxa"/>
            <w:vAlign w:val="bottom"/>
          </w:tcPr>
          <w:p>
            <w:pPr>
              <w:spacing w:after="0"/>
              <w:rPr>
                <w:sz w:val="18"/>
                <w:szCs w:val="18"/>
                <w:color w:val="auto"/>
              </w:rPr>
            </w:pPr>
          </w:p>
        </w:tc>
        <w:tc>
          <w:tcPr>
            <w:tcW w:w="200" w:type="dxa"/>
            <w:vAlign w:val="bottom"/>
            <w:gridSpan w:val="4"/>
          </w:tcPr>
          <w:p>
            <w:pPr>
              <w:jc w:val="right"/>
              <w:spacing w:after="0" w:line="209" w:lineRule="exact"/>
              <w:rPr>
                <w:sz w:val="20"/>
                <w:szCs w:val="20"/>
                <w:color w:val="auto"/>
              </w:rPr>
            </w:pPr>
            <w:r>
              <w:rPr>
                <w:rFonts w:ascii="Arial" w:cs="Arial" w:eastAsia="Arial" w:hAnsi="Arial"/>
                <w:sz w:val="20"/>
                <w:szCs w:val="20"/>
                <w:color w:val="FF0000"/>
                <w:strike w:val="1"/>
                <w:w w:val="80"/>
              </w:rPr>
              <w:t>74</w:t>
            </w:r>
          </w:p>
        </w:tc>
        <w:tc>
          <w:tcPr>
            <w:tcW w:w="220" w:type="dxa"/>
            <w:vAlign w:val="bottom"/>
            <w:gridSpan w:val="4"/>
          </w:tcPr>
          <w:p>
            <w:pPr>
              <w:jc w:val="right"/>
              <w:ind w:right="20"/>
              <w:spacing w:after="0" w:line="209" w:lineRule="exact"/>
              <w:rPr>
                <w:sz w:val="20"/>
                <w:szCs w:val="20"/>
                <w:color w:val="auto"/>
              </w:rPr>
            </w:pPr>
            <w:r>
              <w:rPr>
                <w:rFonts w:ascii="Arial" w:cs="Arial" w:eastAsia="Arial" w:hAnsi="Arial"/>
                <w:sz w:val="20"/>
                <w:szCs w:val="20"/>
                <w:color w:val="0000FF"/>
                <w:w w:val="80"/>
              </w:rPr>
              <w:t>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3360" w:type="dxa"/>
            <w:vAlign w:val="bottom"/>
            <w:gridSpan w:val="23"/>
          </w:tcPr>
          <w:p>
            <w:pPr>
              <w:spacing w:after="0"/>
              <w:rPr>
                <w:sz w:val="20"/>
                <w:szCs w:val="20"/>
                <w:color w:val="auto"/>
              </w:rPr>
            </w:pPr>
            <w:r>
              <w:rPr>
                <w:rFonts w:ascii="Arial" w:cs="Arial" w:eastAsia="Arial" w:hAnsi="Arial"/>
                <w:sz w:val="20"/>
                <w:szCs w:val="20"/>
                <w:color w:val="auto"/>
              </w:rPr>
              <w:t>ARTICLE VII EVENTS OF DEFAULT</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74</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79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20"/>
                <w:szCs w:val="20"/>
                <w:color w:val="auto"/>
                <w:w w:val="86"/>
              </w:rPr>
              <w:t>Section 7.01</w:t>
            </w:r>
          </w:p>
        </w:tc>
        <w:tc>
          <w:tcPr>
            <w:tcW w:w="200" w:type="dxa"/>
            <w:vAlign w:val="bottom"/>
          </w:tcPr>
          <w:p>
            <w:pPr>
              <w:spacing w:after="0"/>
              <w:rPr>
                <w:sz w:val="24"/>
                <w:szCs w:val="24"/>
                <w:color w:val="auto"/>
              </w:rPr>
            </w:pPr>
          </w:p>
        </w:tc>
        <w:tc>
          <w:tcPr>
            <w:tcW w:w="1540" w:type="dxa"/>
            <w:vAlign w:val="bottom"/>
            <w:gridSpan w:val="20"/>
          </w:tcPr>
          <w:p>
            <w:pPr>
              <w:spacing w:after="0"/>
              <w:rPr>
                <w:sz w:val="20"/>
                <w:szCs w:val="20"/>
                <w:color w:val="auto"/>
              </w:rPr>
            </w:pPr>
            <w:r>
              <w:rPr>
                <w:rFonts w:ascii="Arial" w:cs="Arial" w:eastAsia="Arial" w:hAnsi="Arial"/>
                <w:sz w:val="20"/>
                <w:szCs w:val="20"/>
                <w:color w:val="auto"/>
                <w:w w:val="99"/>
              </w:rPr>
              <w:t>Events of Default</w:t>
            </w:r>
          </w:p>
        </w:tc>
        <w:tc>
          <w:tcPr>
            <w:tcW w:w="100" w:type="dxa"/>
            <w:vAlign w:val="bottom"/>
            <w:gridSpan w:val="2"/>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FF0000"/>
                <w:strike w:val="1"/>
                <w:w w:val="78"/>
              </w:rPr>
              <w:t>74</w:t>
            </w: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79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980" w:type="dxa"/>
            <w:vAlign w:val="bottom"/>
          </w:tcPr>
          <w:p>
            <w:pPr>
              <w:spacing w:after="0" w:line="223" w:lineRule="exact"/>
              <w:rPr>
                <w:sz w:val="20"/>
                <w:szCs w:val="20"/>
                <w:color w:val="auto"/>
              </w:rPr>
            </w:pPr>
            <w:r>
              <w:rPr>
                <w:rFonts w:ascii="Arial" w:cs="Arial" w:eastAsia="Arial" w:hAnsi="Arial"/>
                <w:sz w:val="20"/>
                <w:szCs w:val="20"/>
                <w:color w:val="auto"/>
                <w:w w:val="86"/>
              </w:rPr>
              <w:t>Section 7.02</w:t>
            </w:r>
          </w:p>
        </w:tc>
        <w:tc>
          <w:tcPr>
            <w:tcW w:w="200" w:type="dxa"/>
            <w:vAlign w:val="bottom"/>
          </w:tcPr>
          <w:p>
            <w:pPr>
              <w:spacing w:after="0"/>
              <w:rPr>
                <w:sz w:val="19"/>
                <w:szCs w:val="19"/>
                <w:color w:val="auto"/>
              </w:rPr>
            </w:pPr>
          </w:p>
        </w:tc>
        <w:tc>
          <w:tcPr>
            <w:tcW w:w="3080" w:type="dxa"/>
            <w:vAlign w:val="bottom"/>
            <w:gridSpan w:val="47"/>
          </w:tcPr>
          <w:p>
            <w:pPr>
              <w:spacing w:after="0" w:line="223" w:lineRule="exact"/>
              <w:rPr>
                <w:sz w:val="20"/>
                <w:szCs w:val="20"/>
                <w:color w:val="auto"/>
              </w:rPr>
            </w:pPr>
            <w:r>
              <w:rPr>
                <w:rFonts w:ascii="Arial" w:cs="Arial" w:eastAsia="Arial" w:hAnsi="Arial"/>
                <w:sz w:val="20"/>
                <w:szCs w:val="20"/>
                <w:color w:val="auto"/>
                <w:w w:val="92"/>
              </w:rPr>
              <w:t>Distribution of Payments after Default</w:t>
            </w:r>
          </w:p>
        </w:tc>
        <w:tc>
          <w:tcPr>
            <w:tcW w:w="160" w:type="dxa"/>
            <w:vAlign w:val="bottom"/>
            <w:gridSpan w:val="3"/>
          </w:tcPr>
          <w:p>
            <w:pPr>
              <w:spacing w:after="0"/>
              <w:rPr>
                <w:sz w:val="19"/>
                <w:szCs w:val="19"/>
                <w:color w:val="auto"/>
              </w:rPr>
            </w:pPr>
          </w:p>
        </w:tc>
        <w:tc>
          <w:tcPr>
            <w:tcW w:w="200" w:type="dxa"/>
            <w:vAlign w:val="bottom"/>
            <w:gridSpan w:val="5"/>
          </w:tcPr>
          <w:p>
            <w:pPr>
              <w:jc w:val="right"/>
              <w:spacing w:after="0" w:line="223" w:lineRule="exact"/>
              <w:rPr>
                <w:sz w:val="20"/>
                <w:szCs w:val="20"/>
                <w:color w:val="auto"/>
              </w:rPr>
            </w:pPr>
            <w:r>
              <w:rPr>
                <w:rFonts w:ascii="Arial" w:cs="Arial" w:eastAsia="Arial" w:hAnsi="Arial"/>
                <w:sz w:val="20"/>
                <w:szCs w:val="20"/>
                <w:color w:val="FF0000"/>
                <w:strike w:val="1"/>
                <w:w w:val="80"/>
              </w:rPr>
              <w:t>76</w:t>
            </w:r>
          </w:p>
        </w:tc>
        <w:tc>
          <w:tcPr>
            <w:tcW w:w="320" w:type="dxa"/>
            <w:vAlign w:val="bottom"/>
            <w:gridSpan w:val="5"/>
          </w:tcPr>
          <w:p>
            <w:pPr>
              <w:spacing w:after="0" w:line="223" w:lineRule="exact"/>
              <w:rPr>
                <w:sz w:val="20"/>
                <w:szCs w:val="20"/>
                <w:color w:val="auto"/>
              </w:rPr>
            </w:pPr>
            <w:r>
              <w:rPr>
                <w:rFonts w:ascii="Arial" w:cs="Arial" w:eastAsia="Arial" w:hAnsi="Arial"/>
                <w:sz w:val="20"/>
                <w:szCs w:val="20"/>
                <w:color w:val="0000FF"/>
              </w:rPr>
              <w:t>81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4060" w:type="dxa"/>
            <w:vAlign w:val="bottom"/>
            <w:gridSpan w:val="34"/>
          </w:tcPr>
          <w:p>
            <w:pPr>
              <w:spacing w:after="0"/>
              <w:rPr>
                <w:sz w:val="20"/>
                <w:szCs w:val="20"/>
                <w:color w:val="auto"/>
              </w:rPr>
            </w:pPr>
            <w:r>
              <w:rPr>
                <w:rFonts w:ascii="Arial" w:cs="Arial" w:eastAsia="Arial" w:hAnsi="Arial"/>
                <w:sz w:val="20"/>
                <w:szCs w:val="20"/>
                <w:color w:val="auto"/>
                <w:w w:val="97"/>
              </w:rPr>
              <w:t>ARTICLE VIII THE ADMINISTRATIVE AGENT</w:t>
            </w:r>
          </w:p>
        </w:tc>
        <w:tc>
          <w:tcPr>
            <w:tcW w:w="160" w:type="dxa"/>
            <w:vAlign w:val="bottom"/>
            <w:gridSpan w:val="2"/>
          </w:tcPr>
          <w:p>
            <w:pPr>
              <w:spacing w:after="0"/>
              <w:rPr>
                <w:sz w:val="24"/>
                <w:szCs w:val="24"/>
                <w:color w:val="auto"/>
              </w:rPr>
            </w:pPr>
          </w:p>
        </w:tc>
        <w:tc>
          <w:tcPr>
            <w:tcW w:w="260" w:type="dxa"/>
            <w:vAlign w:val="bottom"/>
            <w:gridSpan w:val="5"/>
          </w:tcPr>
          <w:p>
            <w:pPr>
              <w:ind w:left="60"/>
              <w:spacing w:after="0"/>
              <w:rPr>
                <w:sz w:val="20"/>
                <w:szCs w:val="20"/>
                <w:color w:val="auto"/>
              </w:rPr>
            </w:pPr>
            <w:r>
              <w:rPr>
                <w:rFonts w:ascii="Arial" w:cs="Arial" w:eastAsia="Arial" w:hAnsi="Arial"/>
                <w:sz w:val="20"/>
                <w:szCs w:val="20"/>
                <w:color w:val="FF0000"/>
                <w:strike w:val="1"/>
                <w:w w:val="80"/>
              </w:rPr>
              <w:t>77</w:t>
            </w:r>
          </w:p>
        </w:tc>
        <w:tc>
          <w:tcPr>
            <w:tcW w:w="220" w:type="dxa"/>
            <w:vAlign w:val="bottom"/>
            <w:gridSpan w:val="6"/>
          </w:tcPr>
          <w:p>
            <w:pPr>
              <w:jc w:val="center"/>
              <w:spacing w:after="0"/>
              <w:rPr>
                <w:sz w:val="20"/>
                <w:szCs w:val="20"/>
                <w:color w:val="auto"/>
              </w:rPr>
            </w:pPr>
            <w:r>
              <w:rPr>
                <w:rFonts w:ascii="Arial" w:cs="Arial" w:eastAsia="Arial" w:hAnsi="Arial"/>
                <w:sz w:val="20"/>
                <w:szCs w:val="20"/>
                <w:color w:val="0000FF"/>
                <w:w w:val="80"/>
              </w:rPr>
              <w:t>81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20"/>
                <w:szCs w:val="20"/>
                <w:color w:val="0000FF"/>
                <w:w w:val="86"/>
              </w:rPr>
              <w:t>Section 8.01</w:t>
            </w:r>
          </w:p>
        </w:tc>
        <w:tc>
          <w:tcPr>
            <w:tcW w:w="200" w:type="dxa"/>
            <w:vAlign w:val="bottom"/>
          </w:tcPr>
          <w:p>
            <w:pPr>
              <w:spacing w:after="0"/>
              <w:rPr>
                <w:sz w:val="24"/>
                <w:szCs w:val="24"/>
                <w:color w:val="auto"/>
              </w:rPr>
            </w:pPr>
          </w:p>
        </w:tc>
        <w:tc>
          <w:tcPr>
            <w:tcW w:w="2240" w:type="dxa"/>
            <w:vAlign w:val="bottom"/>
            <w:gridSpan w:val="31"/>
          </w:tcPr>
          <w:p>
            <w:pPr>
              <w:spacing w:after="0"/>
              <w:rPr>
                <w:sz w:val="20"/>
                <w:szCs w:val="20"/>
                <w:color w:val="auto"/>
              </w:rPr>
            </w:pPr>
            <w:r>
              <w:rPr>
                <w:rFonts w:ascii="Arial" w:cs="Arial" w:eastAsia="Arial" w:hAnsi="Arial"/>
                <w:sz w:val="20"/>
                <w:szCs w:val="20"/>
                <w:color w:val="0000FF"/>
                <w:w w:val="98"/>
              </w:rPr>
              <w:t>The Administrative Agent</w:t>
            </w:r>
          </w:p>
        </w:tc>
        <w:tc>
          <w:tcPr>
            <w:tcW w:w="260" w:type="dxa"/>
            <w:vAlign w:val="bottom"/>
            <w:gridSpan w:val="5"/>
          </w:tcPr>
          <w:p>
            <w:pPr>
              <w:ind w:left="40"/>
              <w:spacing w:after="0"/>
              <w:rPr>
                <w:sz w:val="20"/>
                <w:szCs w:val="20"/>
                <w:color w:val="auto"/>
              </w:rPr>
            </w:pPr>
            <w:r>
              <w:rPr>
                <w:rFonts w:ascii="Arial" w:cs="Arial" w:eastAsia="Arial" w:hAnsi="Arial"/>
                <w:sz w:val="20"/>
                <w:szCs w:val="20"/>
                <w:color w:val="0000FF"/>
                <w:w w:val="89"/>
              </w:rPr>
              <w:t>81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980" w:type="dxa"/>
            <w:vAlign w:val="bottom"/>
            <w:tcBorders>
              <w:top w:val="single" w:sz="8" w:color="0000FF"/>
            </w:tcBorders>
          </w:tcPr>
          <w:p>
            <w:pPr>
              <w:spacing w:after="0" w:line="183" w:lineRule="exact"/>
              <w:rPr>
                <w:sz w:val="20"/>
                <w:szCs w:val="20"/>
                <w:color w:val="auto"/>
              </w:rPr>
            </w:pPr>
            <w:r>
              <w:rPr>
                <w:rFonts w:ascii="Arial" w:cs="Arial" w:eastAsia="Arial" w:hAnsi="Arial"/>
                <w:sz w:val="20"/>
                <w:szCs w:val="20"/>
                <w:color w:val="0000FF"/>
                <w:w w:val="86"/>
              </w:rPr>
              <w:t>Section 8.02</w:t>
            </w:r>
          </w:p>
        </w:tc>
        <w:tc>
          <w:tcPr>
            <w:tcW w:w="200" w:type="dxa"/>
            <w:vAlign w:val="bottom"/>
          </w:tcPr>
          <w:p>
            <w:pPr>
              <w:spacing w:after="0"/>
              <w:rPr>
                <w:sz w:val="15"/>
                <w:szCs w:val="15"/>
                <w:color w:val="auto"/>
              </w:rPr>
            </w:pPr>
          </w:p>
        </w:tc>
        <w:tc>
          <w:tcPr>
            <w:tcW w:w="1640" w:type="dxa"/>
            <w:vAlign w:val="bottom"/>
            <w:tcBorders>
              <w:top w:val="single" w:sz="8" w:color="0000FF"/>
            </w:tcBorders>
            <w:gridSpan w:val="22"/>
          </w:tcPr>
          <w:p>
            <w:pPr>
              <w:spacing w:after="0" w:line="183" w:lineRule="exact"/>
              <w:rPr>
                <w:sz w:val="20"/>
                <w:szCs w:val="20"/>
                <w:color w:val="auto"/>
              </w:rPr>
            </w:pPr>
            <w:r>
              <w:rPr>
                <w:rFonts w:ascii="Arial" w:cs="Arial" w:eastAsia="Arial" w:hAnsi="Arial"/>
                <w:sz w:val="20"/>
                <w:szCs w:val="20"/>
                <w:color w:val="0000FF"/>
                <w:w w:val="85"/>
              </w:rPr>
              <w:t>Erroneous Payments</w:t>
            </w:r>
          </w:p>
        </w:tc>
        <w:tc>
          <w:tcPr>
            <w:tcW w:w="180" w:type="dxa"/>
            <w:vAlign w:val="bottom"/>
            <w:tcBorders>
              <w:top w:val="single" w:sz="8" w:color="0000FF"/>
            </w:tcBorders>
            <w:gridSpan w:val="3"/>
          </w:tcPr>
          <w:p>
            <w:pPr>
              <w:spacing w:after="0"/>
              <w:rPr>
                <w:sz w:val="15"/>
                <w:szCs w:val="15"/>
                <w:color w:val="auto"/>
              </w:rPr>
            </w:pPr>
          </w:p>
        </w:tc>
        <w:tc>
          <w:tcPr>
            <w:tcW w:w="220" w:type="dxa"/>
            <w:vAlign w:val="bottom"/>
            <w:tcBorders>
              <w:top w:val="single" w:sz="8" w:color="0000FF"/>
            </w:tcBorders>
            <w:gridSpan w:val="2"/>
          </w:tcPr>
          <w:p>
            <w:pPr>
              <w:jc w:val="center"/>
              <w:spacing w:after="0" w:line="183" w:lineRule="exact"/>
              <w:rPr>
                <w:sz w:val="20"/>
                <w:szCs w:val="20"/>
                <w:color w:val="auto"/>
              </w:rPr>
            </w:pPr>
            <w:r>
              <w:rPr>
                <w:rFonts w:ascii="Arial" w:cs="Arial" w:eastAsia="Arial" w:hAnsi="Arial"/>
                <w:sz w:val="20"/>
                <w:szCs w:val="20"/>
                <w:color w:val="0000FF"/>
                <w:w w:val="89"/>
              </w:rPr>
              <w:t>83</w:t>
            </w: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tcBorders>
              <w:right w:val="single" w:sz="8" w:color="0000FF"/>
            </w:tcBorders>
            <w:gridSpan w:val="25"/>
          </w:tcPr>
          <w:p>
            <w:pPr>
              <w:spacing w:after="0" w:line="20" w:lineRule="exact"/>
              <w:rPr>
                <w:sz w:val="1"/>
                <w:szCs w:val="1"/>
                <w:color w:val="auto"/>
              </w:rPr>
            </w:pPr>
          </w:p>
        </w:tc>
        <w:tc>
          <w:tcPr>
            <w:tcW w:w="300" w:type="dxa"/>
            <w:vAlign w:val="bottom"/>
            <w:tcBorders>
              <w:right w:val="single" w:sz="8" w:color="0000FF"/>
            </w:tcBorders>
            <w:gridSpan w:val="4"/>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38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20" w:type="dxa"/>
            <w:vAlign w:val="bottom"/>
            <w:gridSpan w:val="4"/>
          </w:tcPr>
          <w:p>
            <w:pPr>
              <w:spacing w:after="0"/>
              <w:rPr>
                <w:sz w:val="20"/>
                <w:szCs w:val="20"/>
                <w:color w:val="auto"/>
              </w:rPr>
            </w:pPr>
            <w:r>
              <w:rPr>
                <w:rFonts w:ascii="Arial" w:cs="Arial" w:eastAsia="Arial" w:hAnsi="Arial"/>
                <w:sz w:val="20"/>
                <w:szCs w:val="20"/>
                <w:color w:val="auto"/>
              </w:rPr>
              <w:t>ARTICLE IX GUARANTY</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78</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86</w:t>
            </w:r>
          </w:p>
        </w:tc>
        <w:tc>
          <w:tcPr>
            <w:tcW w:w="4420" w:type="dxa"/>
            <w:vAlign w:val="bottom"/>
            <w:gridSpan w:val="58"/>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gridSpan w:val="2"/>
          </w:tcPr>
          <w:p>
            <w:pPr>
              <w:ind w:left="620"/>
              <w:spacing w:after="0"/>
              <w:rPr>
                <w:sz w:val="20"/>
                <w:szCs w:val="20"/>
                <w:color w:val="auto"/>
              </w:rPr>
            </w:pPr>
            <w:r>
              <w:rPr>
                <w:rFonts w:ascii="Arial" w:cs="Arial" w:eastAsia="Arial" w:hAnsi="Arial"/>
                <w:sz w:val="20"/>
                <w:szCs w:val="20"/>
                <w:color w:val="auto"/>
                <w:w w:val="88"/>
              </w:rPr>
              <w:t>Section 9.01</w:t>
            </w:r>
          </w:p>
        </w:tc>
        <w:tc>
          <w:tcPr>
            <w:tcW w:w="2440" w:type="dxa"/>
            <w:vAlign w:val="bottom"/>
            <w:gridSpan w:val="32"/>
          </w:tcPr>
          <w:p>
            <w:pPr>
              <w:ind w:left="180"/>
              <w:spacing w:after="0"/>
              <w:rPr>
                <w:sz w:val="20"/>
                <w:szCs w:val="20"/>
                <w:color w:val="auto"/>
              </w:rPr>
            </w:pPr>
            <w:r>
              <w:rPr>
                <w:rFonts w:ascii="Arial" w:cs="Arial" w:eastAsia="Arial" w:hAnsi="Arial"/>
                <w:sz w:val="20"/>
                <w:szCs w:val="20"/>
                <w:color w:val="auto"/>
                <w:w w:val="95"/>
              </w:rPr>
              <w:t>Guaranty by the Company</w:t>
            </w:r>
          </w:p>
        </w:tc>
        <w:tc>
          <w:tcPr>
            <w:tcW w:w="240" w:type="dxa"/>
            <w:vAlign w:val="bottom"/>
            <w:gridSpan w:val="4"/>
          </w:tcPr>
          <w:p>
            <w:pPr>
              <w:ind w:left="40"/>
              <w:spacing w:after="0"/>
              <w:rPr>
                <w:sz w:val="20"/>
                <w:szCs w:val="20"/>
                <w:color w:val="auto"/>
              </w:rPr>
            </w:pPr>
            <w:r>
              <w:rPr>
                <w:rFonts w:ascii="Arial" w:cs="Arial" w:eastAsia="Arial" w:hAnsi="Arial"/>
                <w:sz w:val="20"/>
                <w:szCs w:val="20"/>
                <w:color w:val="FF0000"/>
                <w:strike w:val="1"/>
                <w:w w:val="80"/>
              </w:rPr>
              <w:t>78</w:t>
            </w:r>
          </w:p>
        </w:tc>
        <w:tc>
          <w:tcPr>
            <w:tcW w:w="2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0"/>
              </w:rPr>
              <w:t>86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20" w:type="dxa"/>
            <w:vAlign w:val="bottom"/>
            <w:gridSpan w:val="2"/>
          </w:tcPr>
          <w:p>
            <w:pPr>
              <w:ind w:left="620"/>
              <w:spacing w:after="0" w:line="209" w:lineRule="exact"/>
              <w:rPr>
                <w:sz w:val="20"/>
                <w:szCs w:val="20"/>
                <w:color w:val="auto"/>
              </w:rPr>
            </w:pPr>
            <w:r>
              <w:rPr>
                <w:rFonts w:ascii="Arial" w:cs="Arial" w:eastAsia="Arial" w:hAnsi="Arial"/>
                <w:sz w:val="20"/>
                <w:szCs w:val="20"/>
                <w:color w:val="auto"/>
                <w:w w:val="88"/>
              </w:rPr>
              <w:t>Section 9.02</w:t>
            </w:r>
          </w:p>
        </w:tc>
        <w:tc>
          <w:tcPr>
            <w:tcW w:w="2260" w:type="dxa"/>
            <w:vAlign w:val="bottom"/>
            <w:gridSpan w:val="29"/>
          </w:tcPr>
          <w:p>
            <w:pPr>
              <w:ind w:left="180"/>
              <w:spacing w:after="0" w:line="209" w:lineRule="exact"/>
              <w:rPr>
                <w:sz w:val="20"/>
                <w:szCs w:val="20"/>
                <w:color w:val="auto"/>
              </w:rPr>
            </w:pPr>
            <w:r>
              <w:rPr>
                <w:rFonts w:ascii="Arial" w:cs="Arial" w:eastAsia="Arial" w:hAnsi="Arial"/>
                <w:sz w:val="20"/>
                <w:szCs w:val="20"/>
                <w:color w:val="auto"/>
                <w:w w:val="98"/>
              </w:rPr>
              <w:t>Guaranty Unconditional</w:t>
            </w:r>
          </w:p>
        </w:tc>
        <w:tc>
          <w:tcPr>
            <w:tcW w:w="20" w:type="dxa"/>
            <w:vAlign w:val="bottom"/>
          </w:tcPr>
          <w:p>
            <w:pPr>
              <w:spacing w:after="0"/>
              <w:rPr>
                <w:sz w:val="18"/>
                <w:szCs w:val="18"/>
                <w:color w:val="auto"/>
              </w:rPr>
            </w:pPr>
          </w:p>
        </w:tc>
        <w:tc>
          <w:tcPr>
            <w:tcW w:w="160" w:type="dxa"/>
            <w:vAlign w:val="bottom"/>
            <w:gridSpan w:val="2"/>
          </w:tcPr>
          <w:p>
            <w:pPr>
              <w:jc w:val="right"/>
              <w:spacing w:after="0" w:line="209" w:lineRule="exact"/>
              <w:rPr>
                <w:sz w:val="20"/>
                <w:szCs w:val="20"/>
                <w:color w:val="auto"/>
              </w:rPr>
            </w:pPr>
            <w:r>
              <w:rPr>
                <w:rFonts w:ascii="Arial" w:cs="Arial" w:eastAsia="Arial" w:hAnsi="Arial"/>
                <w:sz w:val="20"/>
                <w:szCs w:val="20"/>
                <w:color w:val="FF0000"/>
                <w:strike w:val="1"/>
                <w:w w:val="89"/>
              </w:rPr>
              <w:t>79</w:t>
            </w:r>
          </w:p>
        </w:tc>
        <w:tc>
          <w:tcPr>
            <w:tcW w:w="260" w:type="dxa"/>
            <w:vAlign w:val="bottom"/>
            <w:tcBorders>
              <w:bottom w:val="single" w:sz="8" w:color="0000FF"/>
            </w:tcBorders>
            <w:gridSpan w:val="5"/>
          </w:tcPr>
          <w:p>
            <w:pPr>
              <w:ind w:left="60"/>
              <w:spacing w:after="0" w:line="209" w:lineRule="exact"/>
              <w:rPr>
                <w:sz w:val="20"/>
                <w:szCs w:val="20"/>
                <w:color w:val="auto"/>
              </w:rPr>
            </w:pPr>
            <w:r>
              <w:rPr>
                <w:rFonts w:ascii="Arial" w:cs="Arial" w:eastAsia="Arial" w:hAnsi="Arial"/>
                <w:sz w:val="20"/>
                <w:szCs w:val="20"/>
                <w:color w:val="0000FF"/>
                <w:w w:val="80"/>
              </w:rPr>
              <w:t>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20" w:type="dxa"/>
            <w:vAlign w:val="bottom"/>
            <w:gridSpan w:val="2"/>
          </w:tcPr>
          <w:p>
            <w:pPr>
              <w:ind w:left="620"/>
              <w:spacing w:after="0" w:line="196" w:lineRule="exact"/>
              <w:rPr>
                <w:sz w:val="20"/>
                <w:szCs w:val="20"/>
                <w:color w:val="auto"/>
              </w:rPr>
            </w:pPr>
            <w:r>
              <w:rPr>
                <w:rFonts w:ascii="Arial" w:cs="Arial" w:eastAsia="Arial" w:hAnsi="Arial"/>
                <w:sz w:val="20"/>
                <w:szCs w:val="20"/>
                <w:color w:val="auto"/>
                <w:w w:val="88"/>
              </w:rPr>
              <w:t>Section 9.03</w:t>
            </w:r>
          </w:p>
        </w:tc>
        <w:tc>
          <w:tcPr>
            <w:tcW w:w="1000" w:type="dxa"/>
            <w:vAlign w:val="bottom"/>
            <w:gridSpan w:val="4"/>
          </w:tcPr>
          <w:p>
            <w:pPr>
              <w:ind w:left="180"/>
              <w:spacing w:after="0" w:line="196" w:lineRule="exact"/>
              <w:rPr>
                <w:sz w:val="20"/>
                <w:szCs w:val="20"/>
                <w:color w:val="auto"/>
              </w:rPr>
            </w:pPr>
            <w:r>
              <w:rPr>
                <w:rFonts w:ascii="Arial" w:cs="Arial" w:eastAsia="Arial" w:hAnsi="Arial"/>
                <w:sz w:val="20"/>
                <w:szCs w:val="20"/>
                <w:color w:val="auto"/>
              </w:rPr>
              <w:t>Waivers</w:t>
            </w:r>
          </w:p>
        </w:tc>
        <w:tc>
          <w:tcPr>
            <w:tcW w:w="220" w:type="dxa"/>
            <w:vAlign w:val="bottom"/>
            <w:gridSpan w:val="6"/>
          </w:tcPr>
          <w:p>
            <w:pPr>
              <w:jc w:val="right"/>
              <w:spacing w:after="0" w:line="196" w:lineRule="exact"/>
              <w:rPr>
                <w:sz w:val="20"/>
                <w:szCs w:val="20"/>
                <w:color w:val="auto"/>
              </w:rPr>
            </w:pPr>
            <w:r>
              <w:rPr>
                <w:rFonts w:ascii="Arial" w:cs="Arial" w:eastAsia="Arial" w:hAnsi="Arial"/>
                <w:sz w:val="20"/>
                <w:szCs w:val="20"/>
                <w:color w:val="FF0000"/>
                <w:strike w:val="1"/>
                <w:w w:val="89"/>
              </w:rPr>
              <w:t>80</w:t>
            </w:r>
          </w:p>
        </w:tc>
        <w:tc>
          <w:tcPr>
            <w:tcW w:w="200" w:type="dxa"/>
            <w:vAlign w:val="bottom"/>
            <w:tcBorders>
              <w:bottom w:val="single" w:sz="8" w:color="0000FF"/>
            </w:tcBorders>
            <w:gridSpan w:val="6"/>
          </w:tcPr>
          <w:p>
            <w:pPr>
              <w:jc w:val="right"/>
              <w:spacing w:after="0" w:line="196" w:lineRule="exact"/>
              <w:rPr>
                <w:sz w:val="20"/>
                <w:szCs w:val="20"/>
                <w:color w:val="auto"/>
              </w:rPr>
            </w:pPr>
            <w:r>
              <w:rPr>
                <w:rFonts w:ascii="Arial" w:cs="Arial" w:eastAsia="Arial" w:hAnsi="Arial"/>
                <w:sz w:val="20"/>
                <w:szCs w:val="20"/>
                <w:color w:val="0000FF"/>
                <w:w w:val="80"/>
              </w:rPr>
              <w:t>87</w:t>
            </w:r>
          </w:p>
        </w:tc>
        <w:tc>
          <w:tcPr>
            <w:tcW w:w="4200" w:type="dxa"/>
            <w:vAlign w:val="bottom"/>
            <w:gridSpan w:val="51"/>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NAI-1523373604v</w:t>
      </w:r>
      <w:r>
        <w:rPr>
          <w:rFonts w:ascii="Arial" w:cs="Arial" w:eastAsia="Arial" w:hAnsi="Arial"/>
          <w:sz w:val="15"/>
          <w:szCs w:val="15"/>
          <w:color w:val="FF0000"/>
          <w:strike w:val="1"/>
        </w:rPr>
        <w:t>1</w:t>
      </w:r>
      <w:r>
        <w:rPr>
          <w:rFonts w:ascii="Arial" w:cs="Arial" w:eastAsia="Arial" w:hAnsi="Arial"/>
          <w:sz w:val="15"/>
          <w:szCs w:val="15"/>
          <w:u w:val="single" w:color="auto"/>
          <w:color w:val="0000FF"/>
        </w:rPr>
        <w:t>6</w:t>
      </w:r>
    </w:p>
    <w:p>
      <w:pPr>
        <w:sectPr>
          <w:pgSz w:w="11900" w:h="16838" w:orient="portrait"/>
          <w:cols w:equalWidth="0" w:num="1">
            <w:col w:w="11240"/>
          </w:cols>
          <w:pgMar w:left="320" w:top="104" w:right="3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ind w:left="660"/>
              <w:spacing w:after="0"/>
              <w:rPr>
                <w:sz w:val="20"/>
                <w:szCs w:val="20"/>
                <w:color w:val="auto"/>
              </w:rPr>
            </w:pPr>
            <w:r>
              <w:rPr>
                <w:rFonts w:ascii="Arial" w:cs="Arial" w:eastAsia="Arial" w:hAnsi="Arial"/>
                <w:sz w:val="20"/>
                <w:szCs w:val="20"/>
                <w:color w:val="auto"/>
              </w:rPr>
              <w:t>Section 9.04</w:t>
            </w:r>
          </w:p>
        </w:tc>
        <w:tc>
          <w:tcPr>
            <w:tcW w:w="4450" w:type="dxa"/>
            <w:vAlign w:val="bottom"/>
            <w:gridSpan w:val="41"/>
          </w:tcPr>
          <w:p>
            <w:pPr>
              <w:ind w:left="40"/>
              <w:spacing w:after="0"/>
              <w:rPr>
                <w:sz w:val="20"/>
                <w:szCs w:val="20"/>
                <w:color w:val="auto"/>
              </w:rPr>
            </w:pPr>
            <w:r>
              <w:rPr>
                <w:rFonts w:ascii="Arial" w:cs="Arial" w:eastAsia="Arial" w:hAnsi="Arial"/>
                <w:sz w:val="20"/>
                <w:szCs w:val="20"/>
                <w:color w:val="auto"/>
                <w:w w:val="91"/>
              </w:rPr>
              <w:t>Company Obligations to Remain in Effect; Restoration</w:t>
            </w:r>
          </w:p>
        </w:tc>
        <w:tc>
          <w:tcPr>
            <w:tcW w:w="350" w:type="dxa"/>
            <w:vAlign w:val="bottom"/>
            <w:gridSpan w:val="2"/>
          </w:tcPr>
          <w:p>
            <w:pPr>
              <w:jc w:val="right"/>
              <w:spacing w:after="0"/>
              <w:rPr>
                <w:sz w:val="20"/>
                <w:szCs w:val="20"/>
                <w:color w:val="auto"/>
              </w:rPr>
            </w:pPr>
            <w:r>
              <w:rPr>
                <w:rFonts w:ascii="Arial" w:cs="Arial" w:eastAsia="Arial" w:hAnsi="Arial"/>
                <w:sz w:val="20"/>
                <w:szCs w:val="20"/>
                <w:color w:val="FF0000"/>
                <w:strike w:val="1"/>
              </w:rPr>
              <w:t>80</w:t>
            </w:r>
          </w:p>
        </w:tc>
        <w:tc>
          <w:tcPr>
            <w:tcW w:w="280" w:type="dxa"/>
            <w:vAlign w:val="bottom"/>
            <w:gridSpan w:val="3"/>
          </w:tcPr>
          <w:p>
            <w:pPr>
              <w:jc w:val="right"/>
              <w:ind w:right="80"/>
              <w:spacing w:after="0"/>
              <w:rPr>
                <w:sz w:val="20"/>
                <w:szCs w:val="20"/>
                <w:color w:val="auto"/>
              </w:rPr>
            </w:pPr>
            <w:r>
              <w:rPr>
                <w:rFonts w:ascii="Arial" w:cs="Arial" w:eastAsia="Arial" w:hAnsi="Arial"/>
                <w:sz w:val="20"/>
                <w:szCs w:val="20"/>
                <w:color w:val="0000FF"/>
                <w:w w:val="80"/>
              </w:rPr>
              <w:t>88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rPr>
              <w:t>Section 9.05</w:t>
            </w:r>
          </w:p>
        </w:tc>
        <w:tc>
          <w:tcPr>
            <w:tcW w:w="2140" w:type="dxa"/>
            <w:vAlign w:val="bottom"/>
            <w:gridSpan w:val="21"/>
          </w:tcPr>
          <w:p>
            <w:pPr>
              <w:ind w:left="40"/>
              <w:spacing w:after="0" w:line="196" w:lineRule="exact"/>
              <w:rPr>
                <w:sz w:val="20"/>
                <w:szCs w:val="20"/>
                <w:color w:val="auto"/>
              </w:rPr>
            </w:pPr>
            <w:r>
              <w:rPr>
                <w:rFonts w:ascii="Arial" w:cs="Arial" w:eastAsia="Arial" w:hAnsi="Arial"/>
                <w:sz w:val="20"/>
                <w:szCs w:val="20"/>
                <w:color w:val="auto"/>
                <w:w w:val="89"/>
              </w:rPr>
              <w:t>Waiver of Acceptance, etc</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3"/>
          </w:tcPr>
          <w:p>
            <w:pPr>
              <w:spacing w:after="0" w:line="196" w:lineRule="exact"/>
              <w:rPr>
                <w:sz w:val="20"/>
                <w:szCs w:val="20"/>
                <w:color w:val="auto"/>
              </w:rPr>
            </w:pPr>
            <w:r>
              <w:rPr>
                <w:rFonts w:ascii="Arial" w:cs="Arial" w:eastAsia="Arial" w:hAnsi="Arial"/>
                <w:sz w:val="20"/>
                <w:szCs w:val="20"/>
                <w:color w:val="FF0000"/>
                <w:strike w:val="1"/>
                <w:w w:val="80"/>
              </w:rPr>
              <w:t>80</w:t>
            </w:r>
          </w:p>
        </w:tc>
        <w:tc>
          <w:tcPr>
            <w:tcW w:w="240" w:type="dxa"/>
            <w:vAlign w:val="bottom"/>
            <w:gridSpan w:val="5"/>
          </w:tcPr>
          <w:p>
            <w:pPr>
              <w:jc w:val="right"/>
              <w:ind w:right="40"/>
              <w:spacing w:after="0" w:line="196" w:lineRule="exact"/>
              <w:rPr>
                <w:sz w:val="20"/>
                <w:szCs w:val="20"/>
                <w:color w:val="auto"/>
              </w:rPr>
            </w:pPr>
            <w:r>
              <w:rPr>
                <w:rFonts w:ascii="Arial" w:cs="Arial" w:eastAsia="Arial" w:hAnsi="Arial"/>
                <w:sz w:val="20"/>
                <w:szCs w:val="20"/>
                <w:color w:val="0000FF"/>
                <w:w w:val="80"/>
              </w:rPr>
              <w:t>88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rPr>
              <w:t>Section 9.06</w:t>
            </w:r>
          </w:p>
        </w:tc>
        <w:tc>
          <w:tcPr>
            <w:tcW w:w="1220" w:type="dxa"/>
            <w:vAlign w:val="bottom"/>
            <w:gridSpan w:val="7"/>
          </w:tcPr>
          <w:p>
            <w:pPr>
              <w:ind w:left="40"/>
              <w:spacing w:after="0" w:line="196" w:lineRule="exact"/>
              <w:rPr>
                <w:sz w:val="20"/>
                <w:szCs w:val="20"/>
                <w:color w:val="auto"/>
              </w:rPr>
            </w:pPr>
            <w:r>
              <w:rPr>
                <w:rFonts w:ascii="Arial" w:cs="Arial" w:eastAsia="Arial" w:hAnsi="Arial"/>
                <w:sz w:val="20"/>
                <w:szCs w:val="20"/>
                <w:color w:val="auto"/>
              </w:rPr>
              <w:t>Subrogation</w:t>
            </w:r>
          </w:p>
        </w:tc>
        <w:tc>
          <w:tcPr>
            <w:tcW w:w="280" w:type="dxa"/>
            <w:vAlign w:val="bottom"/>
            <w:gridSpan w:val="5"/>
          </w:tcPr>
          <w:p>
            <w:pPr>
              <w:jc w:val="right"/>
              <w:ind w:right="100"/>
              <w:spacing w:after="0" w:line="196" w:lineRule="exact"/>
              <w:rPr>
                <w:sz w:val="20"/>
                <w:szCs w:val="20"/>
                <w:color w:val="auto"/>
              </w:rPr>
            </w:pPr>
            <w:r>
              <w:rPr>
                <w:rFonts w:ascii="Arial" w:cs="Arial" w:eastAsia="Arial" w:hAnsi="Arial"/>
                <w:sz w:val="20"/>
                <w:szCs w:val="20"/>
                <w:color w:val="FF0000"/>
                <w:strike w:val="1"/>
                <w:w w:val="71"/>
              </w:rPr>
              <w:t>80</w:t>
            </w:r>
          </w:p>
        </w:tc>
        <w:tc>
          <w:tcPr>
            <w:tcW w:w="200" w:type="dxa"/>
            <w:vAlign w:val="bottom"/>
            <w:gridSpan w:val="2"/>
          </w:tcPr>
          <w:p>
            <w:pPr>
              <w:spacing w:after="0" w:line="196" w:lineRule="exact"/>
              <w:rPr>
                <w:sz w:val="20"/>
                <w:szCs w:val="20"/>
                <w:color w:val="auto"/>
              </w:rPr>
            </w:pPr>
            <w:r>
              <w:rPr>
                <w:rFonts w:ascii="Arial" w:cs="Arial" w:eastAsia="Arial" w:hAnsi="Arial"/>
                <w:sz w:val="20"/>
                <w:szCs w:val="20"/>
                <w:color w:val="0000FF"/>
                <w:w w:val="80"/>
              </w:rPr>
              <w:t>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ind w:left="660"/>
              <w:spacing w:after="0" w:line="216" w:lineRule="exact"/>
              <w:rPr>
                <w:sz w:val="20"/>
                <w:szCs w:val="20"/>
                <w:color w:val="auto"/>
              </w:rPr>
            </w:pPr>
            <w:r>
              <w:rPr>
                <w:rFonts w:ascii="Arial" w:cs="Arial" w:eastAsia="Arial" w:hAnsi="Arial"/>
                <w:sz w:val="20"/>
                <w:szCs w:val="20"/>
                <w:color w:val="auto"/>
              </w:rPr>
              <w:t>Section 9.07</w:t>
            </w:r>
          </w:p>
        </w:tc>
        <w:tc>
          <w:tcPr>
            <w:tcW w:w="1220" w:type="dxa"/>
            <w:vAlign w:val="bottom"/>
            <w:gridSpan w:val="7"/>
            <w:vMerge w:val="restart"/>
          </w:tcPr>
          <w:p>
            <w:pPr>
              <w:ind w:left="40"/>
              <w:spacing w:after="0" w:line="216" w:lineRule="exact"/>
              <w:rPr>
                <w:sz w:val="20"/>
                <w:szCs w:val="20"/>
                <w:color w:val="auto"/>
              </w:rPr>
            </w:pPr>
            <w:r>
              <w:rPr>
                <w:rFonts w:ascii="Arial" w:cs="Arial" w:eastAsia="Arial" w:hAnsi="Arial"/>
                <w:sz w:val="20"/>
                <w:szCs w:val="20"/>
                <w:color w:val="auto"/>
                <w:w w:val="97"/>
              </w:rPr>
              <w:t>Effect of Stay</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vMerge w:val="continue"/>
          </w:tcPr>
          <w:p>
            <w:pPr>
              <w:spacing w:after="0"/>
              <w:rPr>
                <w:sz w:val="17"/>
                <w:szCs w:val="17"/>
                <w:color w:val="auto"/>
              </w:rPr>
            </w:pPr>
          </w:p>
        </w:tc>
        <w:tc>
          <w:tcPr>
            <w:tcW w:w="1220" w:type="dxa"/>
            <w:vAlign w:val="bottom"/>
            <w:gridSpan w:val="7"/>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3"/>
          </w:tcPr>
          <w:p>
            <w:pPr>
              <w:jc w:val="right"/>
              <w:spacing w:after="0" w:line="196" w:lineRule="exact"/>
              <w:rPr>
                <w:sz w:val="20"/>
                <w:szCs w:val="20"/>
                <w:color w:val="auto"/>
              </w:rPr>
            </w:pPr>
            <w:r>
              <w:rPr>
                <w:rFonts w:ascii="Arial" w:cs="Arial" w:eastAsia="Arial" w:hAnsi="Arial"/>
                <w:sz w:val="20"/>
                <w:szCs w:val="20"/>
                <w:color w:val="FF0000"/>
                <w:strike w:val="1"/>
                <w:w w:val="89"/>
              </w:rPr>
              <w:t>80</w:t>
            </w:r>
          </w:p>
        </w:tc>
        <w:tc>
          <w:tcPr>
            <w:tcW w:w="240" w:type="dxa"/>
            <w:vAlign w:val="bottom"/>
            <w:tcBorders>
              <w:bottom w:val="single" w:sz="8" w:color="0000FF"/>
            </w:tcBorders>
            <w:gridSpan w:val="4"/>
          </w:tcPr>
          <w:p>
            <w:pPr>
              <w:ind w:left="40"/>
              <w:spacing w:after="0" w:line="196" w:lineRule="exact"/>
              <w:rPr>
                <w:sz w:val="20"/>
                <w:szCs w:val="20"/>
                <w:color w:val="auto"/>
              </w:rPr>
            </w:pPr>
            <w:r>
              <w:rPr>
                <w:rFonts w:ascii="Arial" w:cs="Arial" w:eastAsia="Arial" w:hAnsi="Arial"/>
                <w:sz w:val="20"/>
                <w:szCs w:val="20"/>
                <w:color w:val="0000FF"/>
                <w:w w:val="80"/>
              </w:rPr>
              <w:t>88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rPr>
              <w:t>Section 9.08</w:t>
            </w:r>
          </w:p>
        </w:tc>
        <w:tc>
          <w:tcPr>
            <w:tcW w:w="940" w:type="dxa"/>
            <w:vAlign w:val="bottom"/>
            <w:gridSpan w:val="4"/>
          </w:tcPr>
          <w:p>
            <w:pPr>
              <w:ind w:left="40"/>
              <w:spacing w:after="0" w:line="196" w:lineRule="exact"/>
              <w:rPr>
                <w:sz w:val="20"/>
                <w:szCs w:val="20"/>
                <w:color w:val="auto"/>
              </w:rPr>
            </w:pPr>
            <w:r>
              <w:rPr>
                <w:rFonts w:ascii="Arial" w:cs="Arial" w:eastAsia="Arial" w:hAnsi="Arial"/>
                <w:sz w:val="20"/>
                <w:szCs w:val="20"/>
                <w:color w:val="auto"/>
              </w:rPr>
              <w:t>Keepwell</w:t>
            </w:r>
          </w:p>
        </w:tc>
        <w:tc>
          <w:tcPr>
            <w:tcW w:w="26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rPr>
              <w:t>81</w:t>
            </w:r>
          </w:p>
        </w:tc>
        <w:tc>
          <w:tcPr>
            <w:tcW w:w="20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20"/>
                <w:szCs w:val="20"/>
                <w:color w:val="0000FF"/>
                <w:w w:val="80"/>
              </w:rPr>
              <w:t>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740" w:type="dxa"/>
            <w:vAlign w:val="bottom"/>
            <w:gridSpan w:val="5"/>
          </w:tcPr>
          <w:p>
            <w:pPr>
              <w:spacing w:after="0"/>
              <w:rPr>
                <w:sz w:val="20"/>
                <w:szCs w:val="20"/>
                <w:color w:val="auto"/>
              </w:rPr>
            </w:pPr>
            <w:r>
              <w:rPr>
                <w:rFonts w:ascii="Arial" w:cs="Arial" w:eastAsia="Arial" w:hAnsi="Arial"/>
                <w:sz w:val="20"/>
                <w:szCs w:val="20"/>
                <w:color w:val="auto"/>
                <w:w w:val="97"/>
              </w:rPr>
              <w:t>ARTICLE X MISCELLANEOUS</w:t>
            </w:r>
          </w:p>
        </w:tc>
        <w:tc>
          <w:tcPr>
            <w:tcW w:w="380" w:type="dxa"/>
            <w:vAlign w:val="bottom"/>
            <w:gridSpan w:val="5"/>
          </w:tcPr>
          <w:p>
            <w:pPr>
              <w:ind w:left="180"/>
              <w:spacing w:after="0"/>
              <w:rPr>
                <w:sz w:val="20"/>
                <w:szCs w:val="20"/>
                <w:color w:val="auto"/>
              </w:rPr>
            </w:pPr>
            <w:r>
              <w:rPr>
                <w:rFonts w:ascii="Arial" w:cs="Arial" w:eastAsia="Arial" w:hAnsi="Arial"/>
                <w:sz w:val="20"/>
                <w:szCs w:val="20"/>
                <w:color w:val="FF0000"/>
                <w:strike w:val="1"/>
                <w:w w:val="80"/>
              </w:rPr>
              <w:t>81</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89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0" w:type="dxa"/>
            <w:vAlign w:val="bottom"/>
          </w:tcPr>
          <w:p>
            <w:pPr>
              <w:ind w:left="660"/>
              <w:spacing w:after="0"/>
              <w:rPr>
                <w:sz w:val="20"/>
                <w:szCs w:val="20"/>
                <w:color w:val="auto"/>
              </w:rPr>
            </w:pPr>
            <w:r>
              <w:rPr>
                <w:rFonts w:ascii="Arial" w:cs="Arial" w:eastAsia="Arial" w:hAnsi="Arial"/>
                <w:sz w:val="20"/>
                <w:szCs w:val="20"/>
                <w:color w:val="auto"/>
                <w:w w:val="91"/>
              </w:rPr>
              <w:t>Section 10.01</w:t>
            </w:r>
          </w:p>
        </w:tc>
        <w:tc>
          <w:tcPr>
            <w:tcW w:w="14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20"/>
                <w:szCs w:val="20"/>
                <w:color w:val="auto"/>
              </w:rPr>
              <w:t>Notices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81</w:t>
            </w:r>
          </w:p>
        </w:tc>
        <w:tc>
          <w:tcPr>
            <w:tcW w:w="2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0"/>
              </w:rPr>
              <w:t>89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10.02</w:t>
            </w:r>
          </w:p>
        </w:tc>
        <w:tc>
          <w:tcPr>
            <w:tcW w:w="1140" w:type="dxa"/>
            <w:vAlign w:val="bottom"/>
            <w:gridSpan w:val="5"/>
          </w:tcPr>
          <w:p>
            <w:pPr>
              <w:ind w:left="140"/>
              <w:spacing w:after="0" w:line="196" w:lineRule="exact"/>
              <w:rPr>
                <w:sz w:val="20"/>
                <w:szCs w:val="20"/>
                <w:color w:val="auto"/>
              </w:rPr>
            </w:pPr>
            <w:r>
              <w:rPr>
                <w:rFonts w:ascii="Arial" w:cs="Arial" w:eastAsia="Arial" w:hAnsi="Arial"/>
                <w:sz w:val="20"/>
                <w:szCs w:val="20"/>
                <w:color w:val="auto"/>
              </w:rPr>
              <w:t>Waivers;</w:t>
            </w:r>
          </w:p>
        </w:tc>
        <w:tc>
          <w:tcPr>
            <w:tcW w:w="1000" w:type="dxa"/>
            <w:vAlign w:val="bottom"/>
            <w:gridSpan w:val="16"/>
          </w:tcPr>
          <w:p>
            <w:pPr>
              <w:spacing w:after="0" w:line="196" w:lineRule="exact"/>
              <w:rPr>
                <w:sz w:val="20"/>
                <w:szCs w:val="20"/>
                <w:color w:val="auto"/>
              </w:rPr>
            </w:pPr>
            <w:r>
              <w:rPr>
                <w:rFonts w:ascii="Arial" w:cs="Arial" w:eastAsia="Arial" w:hAnsi="Arial"/>
                <w:sz w:val="20"/>
                <w:szCs w:val="20"/>
                <w:color w:val="auto"/>
                <w:w w:val="83"/>
              </w:rPr>
              <w:t>Amendments</w:t>
            </w:r>
          </w:p>
        </w:tc>
        <w:tc>
          <w:tcPr>
            <w:tcW w:w="200" w:type="dxa"/>
            <w:vAlign w:val="bottom"/>
            <w:gridSpan w:val="3"/>
          </w:tcPr>
          <w:p>
            <w:pPr>
              <w:jc w:val="right"/>
              <w:spacing w:after="0" w:line="196" w:lineRule="exact"/>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20"/>
                <w:szCs w:val="20"/>
                <w:color w:val="0000FF"/>
                <w:w w:val="80"/>
              </w:rPr>
              <w:t>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10.03</w:t>
            </w:r>
          </w:p>
        </w:tc>
        <w:tc>
          <w:tcPr>
            <w:tcW w:w="140" w:type="dxa"/>
            <w:vAlign w:val="bottom"/>
          </w:tcPr>
          <w:p>
            <w:pPr>
              <w:spacing w:after="0"/>
              <w:rPr>
                <w:sz w:val="17"/>
                <w:szCs w:val="17"/>
                <w:color w:val="auto"/>
              </w:rPr>
            </w:pPr>
          </w:p>
        </w:tc>
        <w:tc>
          <w:tcPr>
            <w:tcW w:w="2400" w:type="dxa"/>
            <w:vAlign w:val="bottom"/>
            <w:gridSpan w:val="26"/>
          </w:tcPr>
          <w:p>
            <w:pPr>
              <w:spacing w:after="0" w:line="196" w:lineRule="exact"/>
              <w:rPr>
                <w:sz w:val="20"/>
                <w:szCs w:val="20"/>
                <w:color w:val="auto"/>
              </w:rPr>
            </w:pPr>
            <w:r>
              <w:rPr>
                <w:rFonts w:ascii="Arial" w:cs="Arial" w:eastAsia="Arial" w:hAnsi="Arial"/>
                <w:sz w:val="20"/>
                <w:szCs w:val="20"/>
                <w:color w:val="auto"/>
                <w:w w:val="87"/>
              </w:rPr>
              <w:t>Expenses; Indemnity; Damage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6"/>
          </w:tcPr>
          <w:p>
            <w:pPr>
              <w:spacing w:after="0" w:line="196" w:lineRule="exact"/>
              <w:rPr>
                <w:sz w:val="20"/>
                <w:szCs w:val="20"/>
                <w:color w:val="auto"/>
              </w:rPr>
            </w:pPr>
            <w:r>
              <w:rPr>
                <w:rFonts w:ascii="Arial" w:cs="Arial" w:eastAsia="Arial" w:hAnsi="Arial"/>
                <w:sz w:val="20"/>
                <w:szCs w:val="20"/>
                <w:color w:val="auto"/>
              </w:rPr>
              <w:t>Waiver</w:t>
            </w:r>
          </w:p>
        </w:tc>
        <w:tc>
          <w:tcPr>
            <w:tcW w:w="200" w:type="dxa"/>
            <w:vAlign w:val="bottom"/>
          </w:tcPr>
          <w:p>
            <w:pPr>
              <w:jc w:val="right"/>
              <w:spacing w:after="0" w:line="196" w:lineRule="exact"/>
              <w:rPr>
                <w:sz w:val="20"/>
                <w:szCs w:val="20"/>
                <w:color w:val="auto"/>
              </w:rPr>
            </w:pPr>
            <w:r>
              <w:rPr>
                <w:rFonts w:ascii="Arial" w:cs="Arial" w:eastAsia="Arial" w:hAnsi="Arial"/>
                <w:sz w:val="20"/>
                <w:szCs w:val="20"/>
                <w:color w:val="FF0000"/>
                <w:strike w:val="1"/>
                <w:w w:val="80"/>
              </w:rPr>
              <w:t>83</w:t>
            </w:r>
          </w:p>
        </w:tc>
        <w:tc>
          <w:tcPr>
            <w:tcW w:w="2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80"/>
              </w:rPr>
              <w:t>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10.04</w:t>
            </w:r>
          </w:p>
        </w:tc>
        <w:tc>
          <w:tcPr>
            <w:tcW w:w="140" w:type="dxa"/>
            <w:vAlign w:val="bottom"/>
          </w:tcPr>
          <w:p>
            <w:pPr>
              <w:spacing w:after="0"/>
              <w:rPr>
                <w:sz w:val="17"/>
                <w:szCs w:val="17"/>
                <w:color w:val="auto"/>
              </w:rPr>
            </w:pPr>
          </w:p>
        </w:tc>
        <w:tc>
          <w:tcPr>
            <w:tcW w:w="2000" w:type="dxa"/>
            <w:vAlign w:val="bottom"/>
            <w:gridSpan w:val="20"/>
          </w:tcPr>
          <w:p>
            <w:pPr>
              <w:spacing w:after="0" w:line="196" w:lineRule="exact"/>
              <w:rPr>
                <w:sz w:val="20"/>
                <w:szCs w:val="20"/>
                <w:color w:val="auto"/>
              </w:rPr>
            </w:pPr>
            <w:r>
              <w:rPr>
                <w:rFonts w:ascii="Arial" w:cs="Arial" w:eastAsia="Arial" w:hAnsi="Arial"/>
                <w:sz w:val="20"/>
                <w:szCs w:val="20"/>
                <w:color w:val="auto"/>
                <w:w w:val="90"/>
              </w:rPr>
              <w:t>Successors and Assigns</w:t>
            </w:r>
          </w:p>
        </w:tc>
        <w:tc>
          <w:tcPr>
            <w:tcW w:w="28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rPr>
              <w:t>85</w:t>
            </w:r>
          </w:p>
        </w:tc>
        <w:tc>
          <w:tcPr>
            <w:tcW w:w="200" w:type="dxa"/>
            <w:vAlign w:val="bottom"/>
            <w:tcBorders>
              <w:bottom w:val="single" w:sz="8" w:color="0000FF"/>
            </w:tcBorders>
            <w:gridSpan w:val="4"/>
          </w:tcPr>
          <w:p>
            <w:pPr>
              <w:jc w:val="right"/>
              <w:spacing w:after="0" w:line="196" w:lineRule="exact"/>
              <w:rPr>
                <w:sz w:val="20"/>
                <w:szCs w:val="20"/>
                <w:color w:val="auto"/>
              </w:rPr>
            </w:pPr>
            <w:r>
              <w:rPr>
                <w:rFonts w:ascii="Arial" w:cs="Arial" w:eastAsia="Arial" w:hAnsi="Arial"/>
                <w:sz w:val="20"/>
                <w:szCs w:val="20"/>
                <w:color w:val="0000FF"/>
                <w:w w:val="80"/>
              </w:rPr>
              <w:t>93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10.05</w:t>
            </w:r>
          </w:p>
        </w:tc>
        <w:tc>
          <w:tcPr>
            <w:tcW w:w="1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Arial" w:cs="Arial" w:eastAsia="Arial" w:hAnsi="Arial"/>
                <w:sz w:val="20"/>
                <w:szCs w:val="20"/>
                <w:color w:val="auto"/>
              </w:rPr>
              <w:t>Survival</w:t>
            </w:r>
          </w:p>
        </w:tc>
        <w:tc>
          <w:tcPr>
            <w:tcW w:w="280" w:type="dxa"/>
            <w:vAlign w:val="bottom"/>
            <w:gridSpan w:val="3"/>
          </w:tcPr>
          <w:p>
            <w:pPr>
              <w:jc w:val="right"/>
              <w:spacing w:after="0" w:line="196" w:lineRule="exact"/>
              <w:rPr>
                <w:sz w:val="20"/>
                <w:szCs w:val="20"/>
                <w:color w:val="auto"/>
              </w:rPr>
            </w:pPr>
            <w:r>
              <w:rPr>
                <w:rFonts w:ascii="Arial" w:cs="Arial" w:eastAsia="Arial" w:hAnsi="Arial"/>
                <w:sz w:val="20"/>
                <w:szCs w:val="20"/>
                <w:color w:val="FF0000"/>
                <w:strike w:val="1"/>
              </w:rPr>
              <w:t>88</w:t>
            </w:r>
          </w:p>
        </w:tc>
        <w:tc>
          <w:tcPr>
            <w:tcW w:w="280" w:type="dxa"/>
            <w:vAlign w:val="bottom"/>
            <w:tcBorders>
              <w:bottom w:val="single" w:sz="8" w:color="0000FF"/>
            </w:tcBorders>
            <w:gridSpan w:val="5"/>
          </w:tcPr>
          <w:p>
            <w:pPr>
              <w:jc w:val="right"/>
              <w:ind w:right="100"/>
              <w:spacing w:after="0" w:line="196" w:lineRule="exact"/>
              <w:rPr>
                <w:sz w:val="20"/>
                <w:szCs w:val="20"/>
                <w:color w:val="auto"/>
              </w:rPr>
            </w:pPr>
            <w:r>
              <w:rPr>
                <w:rFonts w:ascii="Arial" w:cs="Arial" w:eastAsia="Arial" w:hAnsi="Arial"/>
                <w:sz w:val="20"/>
                <w:szCs w:val="20"/>
                <w:color w:val="0000FF"/>
                <w:w w:val="71"/>
              </w:rPr>
              <w:t>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10.06</w:t>
            </w:r>
          </w:p>
        </w:tc>
        <w:tc>
          <w:tcPr>
            <w:tcW w:w="140" w:type="dxa"/>
            <w:vAlign w:val="bottom"/>
          </w:tcPr>
          <w:p>
            <w:pPr>
              <w:spacing w:after="0"/>
              <w:rPr>
                <w:sz w:val="17"/>
                <w:szCs w:val="17"/>
                <w:color w:val="auto"/>
              </w:rPr>
            </w:pPr>
          </w:p>
        </w:tc>
        <w:tc>
          <w:tcPr>
            <w:tcW w:w="1080" w:type="dxa"/>
            <w:vAlign w:val="bottom"/>
            <w:gridSpan w:val="6"/>
          </w:tcPr>
          <w:p>
            <w:pPr>
              <w:spacing w:after="0" w:line="196" w:lineRule="exact"/>
              <w:rPr>
                <w:sz w:val="20"/>
                <w:szCs w:val="20"/>
                <w:color w:val="auto"/>
              </w:rPr>
            </w:pPr>
            <w:r>
              <w:rPr>
                <w:rFonts w:ascii="Arial" w:cs="Arial" w:eastAsia="Arial" w:hAnsi="Arial"/>
                <w:sz w:val="20"/>
                <w:szCs w:val="20"/>
                <w:color w:val="auto"/>
                <w:w w:val="87"/>
              </w:rPr>
              <w:t>Counterparts;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gridSpan w:val="34"/>
          </w:tcPr>
          <w:p>
            <w:pPr>
              <w:spacing w:after="0" w:line="196" w:lineRule="exact"/>
              <w:rPr>
                <w:sz w:val="20"/>
                <w:szCs w:val="20"/>
                <w:color w:val="auto"/>
              </w:rPr>
            </w:pPr>
            <w:r>
              <w:rPr>
                <w:rFonts w:ascii="Arial" w:cs="Arial" w:eastAsia="Arial" w:hAnsi="Arial"/>
                <w:sz w:val="20"/>
                <w:szCs w:val="20"/>
                <w:color w:val="auto"/>
                <w:w w:val="85"/>
              </w:rPr>
              <w:t>Integration; Effectiveness; Electronic Execution</w:t>
            </w:r>
          </w:p>
        </w:tc>
        <w:tc>
          <w:tcPr>
            <w:tcW w:w="38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rPr>
              <w:t>88</w:t>
            </w:r>
          </w:p>
        </w:tc>
        <w:tc>
          <w:tcPr>
            <w:tcW w:w="240" w:type="dxa"/>
            <w:vAlign w:val="bottom"/>
            <w:gridSpan w:val="3"/>
          </w:tcPr>
          <w:p>
            <w:pPr>
              <w:jc w:val="right"/>
              <w:ind w:right="40"/>
              <w:spacing w:after="0" w:line="196" w:lineRule="exact"/>
              <w:rPr>
                <w:sz w:val="20"/>
                <w:szCs w:val="20"/>
                <w:color w:val="auto"/>
              </w:rPr>
            </w:pPr>
            <w:r>
              <w:rPr>
                <w:rFonts w:ascii="Arial" w:cs="Arial" w:eastAsia="Arial" w:hAnsi="Arial"/>
                <w:sz w:val="20"/>
                <w:szCs w:val="20"/>
                <w:color w:val="0000FF"/>
                <w:w w:val="80"/>
              </w:rPr>
              <w:t>96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10.07</w:t>
            </w:r>
          </w:p>
        </w:tc>
        <w:tc>
          <w:tcPr>
            <w:tcW w:w="140" w:type="dxa"/>
            <w:vAlign w:val="bottom"/>
          </w:tcPr>
          <w:p>
            <w:pPr>
              <w:spacing w:after="0"/>
              <w:rPr>
                <w:sz w:val="17"/>
                <w:szCs w:val="17"/>
                <w:color w:val="auto"/>
              </w:rPr>
            </w:pPr>
          </w:p>
        </w:tc>
        <w:tc>
          <w:tcPr>
            <w:tcW w:w="1080" w:type="dxa"/>
            <w:vAlign w:val="bottom"/>
            <w:gridSpan w:val="6"/>
          </w:tcPr>
          <w:p>
            <w:pPr>
              <w:spacing w:after="0" w:line="196" w:lineRule="exact"/>
              <w:rPr>
                <w:sz w:val="20"/>
                <w:szCs w:val="20"/>
                <w:color w:val="auto"/>
              </w:rPr>
            </w:pPr>
            <w:r>
              <w:rPr>
                <w:rFonts w:ascii="Arial" w:cs="Arial" w:eastAsia="Arial" w:hAnsi="Arial"/>
                <w:sz w:val="20"/>
                <w:szCs w:val="20"/>
                <w:color w:val="auto"/>
              </w:rPr>
              <w:t>Severability</w:t>
            </w:r>
          </w:p>
        </w:tc>
        <w:tc>
          <w:tcPr>
            <w:tcW w:w="60" w:type="dxa"/>
            <w:vAlign w:val="bottom"/>
          </w:tcPr>
          <w:p>
            <w:pPr>
              <w:spacing w:after="0"/>
              <w:rPr>
                <w:sz w:val="17"/>
                <w:szCs w:val="17"/>
                <w:color w:val="auto"/>
              </w:rPr>
            </w:pPr>
          </w:p>
        </w:tc>
        <w:tc>
          <w:tcPr>
            <w:tcW w:w="22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w w:val="89"/>
              </w:rPr>
              <w:t>89</w:t>
            </w:r>
          </w:p>
        </w:tc>
        <w:tc>
          <w:tcPr>
            <w:tcW w:w="200" w:type="dxa"/>
            <w:vAlign w:val="bottom"/>
            <w:tcBorders>
              <w:bottom w:val="single" w:sz="8" w:color="0000FF"/>
            </w:tcBorders>
            <w:gridSpan w:val="2"/>
          </w:tcPr>
          <w:p>
            <w:pPr>
              <w:jc w:val="right"/>
              <w:spacing w:after="0" w:line="196" w:lineRule="exact"/>
              <w:rPr>
                <w:sz w:val="20"/>
                <w:szCs w:val="20"/>
                <w:color w:val="auto"/>
              </w:rPr>
            </w:pPr>
            <w:r>
              <w:rPr>
                <w:rFonts w:ascii="Arial" w:cs="Arial" w:eastAsia="Arial" w:hAnsi="Arial"/>
                <w:sz w:val="20"/>
                <w:szCs w:val="20"/>
                <w:color w:val="0000FF"/>
                <w:w w:val="80"/>
              </w:rPr>
              <w:t>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10.08</w:t>
            </w:r>
          </w:p>
        </w:tc>
        <w:tc>
          <w:tcPr>
            <w:tcW w:w="140" w:type="dxa"/>
            <w:vAlign w:val="bottom"/>
          </w:tcPr>
          <w:p>
            <w:pPr>
              <w:spacing w:after="0"/>
              <w:rPr>
                <w:sz w:val="17"/>
                <w:szCs w:val="17"/>
                <w:color w:val="auto"/>
              </w:rPr>
            </w:pPr>
          </w:p>
        </w:tc>
        <w:tc>
          <w:tcPr>
            <w:tcW w:w="1360" w:type="dxa"/>
            <w:vAlign w:val="bottom"/>
            <w:gridSpan w:val="11"/>
          </w:tcPr>
          <w:p>
            <w:pPr>
              <w:spacing w:after="0" w:line="196" w:lineRule="exact"/>
              <w:rPr>
                <w:sz w:val="20"/>
                <w:szCs w:val="20"/>
                <w:color w:val="auto"/>
              </w:rPr>
            </w:pPr>
            <w:r>
              <w:rPr>
                <w:rFonts w:ascii="Arial" w:cs="Arial" w:eastAsia="Arial" w:hAnsi="Arial"/>
                <w:sz w:val="20"/>
                <w:szCs w:val="20"/>
                <w:color w:val="auto"/>
              </w:rPr>
              <w:t>Right of Setoff</w:t>
            </w:r>
          </w:p>
        </w:tc>
        <w:tc>
          <w:tcPr>
            <w:tcW w:w="200" w:type="dxa"/>
            <w:vAlign w:val="bottom"/>
            <w:gridSpan w:val="2"/>
          </w:tcPr>
          <w:p>
            <w:pPr>
              <w:ind w:left="20"/>
              <w:spacing w:after="0" w:line="196" w:lineRule="exact"/>
              <w:rPr>
                <w:sz w:val="20"/>
                <w:szCs w:val="20"/>
                <w:color w:val="auto"/>
              </w:rPr>
            </w:pPr>
            <w:r>
              <w:rPr>
                <w:rFonts w:ascii="Arial" w:cs="Arial" w:eastAsia="Arial" w:hAnsi="Arial"/>
                <w:sz w:val="20"/>
                <w:szCs w:val="20"/>
                <w:color w:val="FF0000"/>
                <w:strike w:val="1"/>
                <w:w w:val="71"/>
              </w:rPr>
              <w:t>89</w:t>
            </w:r>
          </w:p>
        </w:tc>
        <w:tc>
          <w:tcPr>
            <w:tcW w:w="20" w:type="dxa"/>
            <w:vAlign w:val="bottom"/>
          </w:tcPr>
          <w:p>
            <w:pPr>
              <w:spacing w:after="0"/>
              <w:rPr>
                <w:sz w:val="17"/>
                <w:szCs w:val="17"/>
                <w:color w:val="auto"/>
              </w:rPr>
            </w:pPr>
          </w:p>
        </w:tc>
        <w:tc>
          <w:tcPr>
            <w:tcW w:w="2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80"/>
              </w:rPr>
              <w:t>97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10.09</w:t>
            </w:r>
          </w:p>
        </w:tc>
        <w:tc>
          <w:tcPr>
            <w:tcW w:w="140" w:type="dxa"/>
            <w:vAlign w:val="bottom"/>
          </w:tcPr>
          <w:p>
            <w:pPr>
              <w:spacing w:after="0"/>
              <w:rPr>
                <w:sz w:val="17"/>
                <w:szCs w:val="17"/>
                <w:color w:val="auto"/>
              </w:rPr>
            </w:pPr>
          </w:p>
        </w:tc>
        <w:tc>
          <w:tcPr>
            <w:tcW w:w="1580" w:type="dxa"/>
            <w:vAlign w:val="bottom"/>
            <w:gridSpan w:val="14"/>
          </w:tcPr>
          <w:p>
            <w:pPr>
              <w:spacing w:after="0" w:line="196" w:lineRule="exact"/>
              <w:rPr>
                <w:sz w:val="20"/>
                <w:szCs w:val="20"/>
                <w:color w:val="auto"/>
              </w:rPr>
            </w:pPr>
            <w:r>
              <w:rPr>
                <w:rFonts w:ascii="Arial" w:cs="Arial" w:eastAsia="Arial" w:hAnsi="Arial"/>
                <w:sz w:val="20"/>
                <w:szCs w:val="20"/>
                <w:color w:val="auto"/>
              </w:rPr>
              <w:t>Governing Law;</w:t>
            </w:r>
          </w:p>
        </w:tc>
        <w:tc>
          <w:tcPr>
            <w:tcW w:w="3360" w:type="dxa"/>
            <w:vAlign w:val="bottom"/>
            <w:gridSpan w:val="31"/>
          </w:tcPr>
          <w:p>
            <w:pPr>
              <w:spacing w:after="0" w:line="196" w:lineRule="exact"/>
              <w:rPr>
                <w:sz w:val="20"/>
                <w:szCs w:val="20"/>
                <w:color w:val="auto"/>
              </w:rPr>
            </w:pPr>
            <w:r>
              <w:rPr>
                <w:rFonts w:ascii="Arial" w:cs="Arial" w:eastAsia="Arial" w:hAnsi="Arial"/>
                <w:sz w:val="20"/>
                <w:szCs w:val="20"/>
                <w:color w:val="auto"/>
                <w:w w:val="87"/>
              </w:rPr>
              <w:t>Jurisdiction; Consent to Service of Process</w:t>
            </w:r>
          </w:p>
        </w:tc>
        <w:tc>
          <w:tcPr>
            <w:tcW w:w="200" w:type="dxa"/>
            <w:vAlign w:val="bottom"/>
          </w:tcPr>
          <w:p>
            <w:pPr>
              <w:jc w:val="right"/>
              <w:spacing w:after="0" w:line="196" w:lineRule="exact"/>
              <w:rPr>
                <w:sz w:val="20"/>
                <w:szCs w:val="20"/>
                <w:color w:val="auto"/>
              </w:rPr>
            </w:pPr>
            <w:r>
              <w:rPr>
                <w:rFonts w:ascii="Arial" w:cs="Arial" w:eastAsia="Arial" w:hAnsi="Arial"/>
                <w:sz w:val="20"/>
                <w:szCs w:val="20"/>
                <w:color w:val="FF0000"/>
                <w:strike w:val="1"/>
                <w:w w:val="80"/>
              </w:rPr>
              <w:t>89</w:t>
            </w:r>
          </w:p>
        </w:tc>
        <w:tc>
          <w:tcPr>
            <w:tcW w:w="380" w:type="dxa"/>
            <w:vAlign w:val="bottom"/>
            <w:gridSpan w:val="3"/>
          </w:tcPr>
          <w:p>
            <w:pPr>
              <w:jc w:val="right"/>
              <w:ind w:right="180"/>
              <w:spacing w:after="0" w:line="196" w:lineRule="exact"/>
              <w:rPr>
                <w:sz w:val="20"/>
                <w:szCs w:val="20"/>
                <w:color w:val="auto"/>
              </w:rPr>
            </w:pPr>
            <w:r>
              <w:rPr>
                <w:rFonts w:ascii="Arial" w:cs="Arial" w:eastAsia="Arial" w:hAnsi="Arial"/>
                <w:sz w:val="20"/>
                <w:szCs w:val="20"/>
                <w:color w:val="0000FF"/>
                <w:w w:val="80"/>
              </w:rPr>
              <w:t>97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00" w:type="dxa"/>
            <w:vAlign w:val="bottom"/>
          </w:tcPr>
          <w:p>
            <w:pPr>
              <w:ind w:left="660"/>
              <w:spacing w:after="0" w:line="209" w:lineRule="exact"/>
              <w:rPr>
                <w:sz w:val="20"/>
                <w:szCs w:val="20"/>
                <w:color w:val="auto"/>
              </w:rPr>
            </w:pPr>
            <w:r>
              <w:rPr>
                <w:rFonts w:ascii="Arial" w:cs="Arial" w:eastAsia="Arial" w:hAnsi="Arial"/>
                <w:sz w:val="20"/>
                <w:szCs w:val="20"/>
                <w:color w:val="auto"/>
                <w:w w:val="91"/>
              </w:rPr>
              <w:t>Section 10.10</w:t>
            </w:r>
          </w:p>
        </w:tc>
        <w:tc>
          <w:tcPr>
            <w:tcW w:w="2560" w:type="dxa"/>
            <w:vAlign w:val="bottom"/>
            <w:gridSpan w:val="28"/>
          </w:tcPr>
          <w:p>
            <w:pPr>
              <w:ind w:left="140"/>
              <w:spacing w:after="0" w:line="209" w:lineRule="exact"/>
              <w:rPr>
                <w:sz w:val="20"/>
                <w:szCs w:val="20"/>
                <w:color w:val="auto"/>
              </w:rPr>
            </w:pPr>
            <w:r>
              <w:rPr>
                <w:rFonts w:ascii="Arial" w:cs="Arial" w:eastAsia="Arial" w:hAnsi="Arial"/>
                <w:sz w:val="20"/>
                <w:szCs w:val="20"/>
                <w:color w:val="auto"/>
              </w:rPr>
              <w:t>WAIVER OF JURY TRIAL</w:t>
            </w:r>
          </w:p>
        </w:tc>
        <w:tc>
          <w:tcPr>
            <w:tcW w:w="200" w:type="dxa"/>
            <w:vAlign w:val="bottom"/>
            <w:gridSpan w:val="3"/>
          </w:tcPr>
          <w:p>
            <w:pPr>
              <w:jc w:val="right"/>
              <w:spacing w:after="0" w:line="209" w:lineRule="exact"/>
              <w:rPr>
                <w:sz w:val="20"/>
                <w:szCs w:val="20"/>
                <w:color w:val="auto"/>
              </w:rPr>
            </w:pPr>
            <w:r>
              <w:rPr>
                <w:rFonts w:ascii="Arial" w:cs="Arial" w:eastAsia="Arial" w:hAnsi="Arial"/>
                <w:sz w:val="20"/>
                <w:szCs w:val="20"/>
                <w:color w:val="FF0000"/>
                <w:strike w:val="1"/>
                <w:w w:val="80"/>
              </w:rPr>
              <w:t>90</w:t>
            </w:r>
          </w:p>
        </w:tc>
        <w:tc>
          <w:tcPr>
            <w:tcW w:w="200" w:type="dxa"/>
            <w:vAlign w:val="bottom"/>
            <w:tcBorders>
              <w:bottom w:val="single" w:sz="8" w:color="0000FF"/>
            </w:tcBorders>
          </w:tcPr>
          <w:p>
            <w:pPr>
              <w:jc w:val="right"/>
              <w:spacing w:after="0" w:line="209" w:lineRule="exact"/>
              <w:rPr>
                <w:sz w:val="20"/>
                <w:szCs w:val="20"/>
                <w:color w:val="auto"/>
              </w:rPr>
            </w:pPr>
            <w:r>
              <w:rPr>
                <w:rFonts w:ascii="Arial" w:cs="Arial" w:eastAsia="Arial" w:hAnsi="Arial"/>
                <w:sz w:val="20"/>
                <w:szCs w:val="20"/>
                <w:color w:val="0000FF"/>
                <w:w w:val="80"/>
              </w:rPr>
              <w:t>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10.11</w:t>
            </w:r>
          </w:p>
        </w:tc>
        <w:tc>
          <w:tcPr>
            <w:tcW w:w="940" w:type="dxa"/>
            <w:vAlign w:val="bottom"/>
            <w:gridSpan w:val="4"/>
          </w:tcPr>
          <w:p>
            <w:pPr>
              <w:ind w:left="140"/>
              <w:spacing w:after="0" w:line="196" w:lineRule="exact"/>
              <w:rPr>
                <w:sz w:val="20"/>
                <w:szCs w:val="20"/>
                <w:color w:val="auto"/>
              </w:rPr>
            </w:pPr>
            <w:r>
              <w:rPr>
                <w:rFonts w:ascii="Arial" w:cs="Arial" w:eastAsia="Arial" w:hAnsi="Arial"/>
                <w:sz w:val="20"/>
                <w:szCs w:val="20"/>
                <w:color w:val="auto"/>
                <w:w w:val="92"/>
              </w:rPr>
              <w:t>Headings</w:t>
            </w:r>
          </w:p>
        </w:tc>
        <w:tc>
          <w:tcPr>
            <w:tcW w:w="34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rPr>
              <w:t>90</w:t>
            </w:r>
          </w:p>
        </w:tc>
        <w:tc>
          <w:tcPr>
            <w:tcW w:w="220" w:type="dxa"/>
            <w:vAlign w:val="bottom"/>
            <w:tcBorders>
              <w:bottom w:val="single" w:sz="8" w:color="0000FF"/>
            </w:tcBorders>
            <w:gridSpan w:val="4"/>
          </w:tcPr>
          <w:p>
            <w:pPr>
              <w:jc w:val="right"/>
              <w:ind w:right="20"/>
              <w:spacing w:after="0" w:line="196" w:lineRule="exact"/>
              <w:rPr>
                <w:sz w:val="20"/>
                <w:szCs w:val="20"/>
                <w:color w:val="auto"/>
              </w:rPr>
            </w:pPr>
            <w:r>
              <w:rPr>
                <w:rFonts w:ascii="Arial" w:cs="Arial" w:eastAsia="Arial" w:hAnsi="Arial"/>
                <w:sz w:val="20"/>
                <w:szCs w:val="20"/>
                <w:color w:val="0000FF"/>
                <w:w w:val="80"/>
              </w:rPr>
              <w:t>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10.12</w:t>
            </w:r>
          </w:p>
        </w:tc>
        <w:tc>
          <w:tcPr>
            <w:tcW w:w="140" w:type="dxa"/>
            <w:vAlign w:val="bottom"/>
          </w:tcPr>
          <w:p>
            <w:pPr>
              <w:spacing w:after="0"/>
              <w:rPr>
                <w:sz w:val="17"/>
                <w:szCs w:val="17"/>
                <w:color w:val="auto"/>
              </w:rPr>
            </w:pPr>
          </w:p>
        </w:tc>
        <w:tc>
          <w:tcPr>
            <w:tcW w:w="1140" w:type="dxa"/>
            <w:vAlign w:val="bottom"/>
            <w:gridSpan w:val="7"/>
          </w:tcPr>
          <w:p>
            <w:pPr>
              <w:spacing w:after="0" w:line="196" w:lineRule="exact"/>
              <w:rPr>
                <w:sz w:val="20"/>
                <w:szCs w:val="20"/>
                <w:color w:val="auto"/>
              </w:rPr>
            </w:pPr>
            <w:r>
              <w:rPr>
                <w:rFonts w:ascii="Arial" w:cs="Arial" w:eastAsia="Arial" w:hAnsi="Arial"/>
                <w:sz w:val="20"/>
                <w:szCs w:val="20"/>
                <w:color w:val="auto"/>
                <w:w w:val="89"/>
              </w:rPr>
              <w:t>Confidentiality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4"/>
          </w:tcPr>
          <w:p>
            <w:pPr>
              <w:ind w:left="40"/>
              <w:spacing w:after="0" w:line="196" w:lineRule="exact"/>
              <w:rPr>
                <w:sz w:val="20"/>
                <w:szCs w:val="20"/>
                <w:color w:val="auto"/>
              </w:rPr>
            </w:pPr>
            <w:r>
              <w:rPr>
                <w:rFonts w:ascii="Arial" w:cs="Arial" w:eastAsia="Arial" w:hAnsi="Arial"/>
                <w:sz w:val="20"/>
                <w:szCs w:val="20"/>
                <w:color w:val="FF0000"/>
                <w:strike w:val="1"/>
                <w:w w:val="80"/>
              </w:rPr>
              <w:t>90</w:t>
            </w:r>
          </w:p>
        </w:tc>
        <w:tc>
          <w:tcPr>
            <w:tcW w:w="360" w:type="dxa"/>
            <w:vAlign w:val="bottom"/>
            <w:gridSpan w:val="3"/>
          </w:tcPr>
          <w:p>
            <w:pPr>
              <w:spacing w:after="0" w:line="196" w:lineRule="exact"/>
              <w:rPr>
                <w:sz w:val="20"/>
                <w:szCs w:val="20"/>
                <w:color w:val="auto"/>
              </w:rPr>
            </w:pPr>
            <w:r>
              <w:rPr>
                <w:rFonts w:ascii="Arial" w:cs="Arial" w:eastAsia="Arial" w:hAnsi="Arial"/>
                <w:sz w:val="20"/>
                <w:szCs w:val="20"/>
                <w:color w:val="0000FF"/>
              </w:rPr>
              <w:t>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10.13</w:t>
            </w:r>
          </w:p>
        </w:tc>
        <w:tc>
          <w:tcPr>
            <w:tcW w:w="140" w:type="dxa"/>
            <w:vAlign w:val="bottom"/>
          </w:tcPr>
          <w:p>
            <w:pPr>
              <w:spacing w:after="0"/>
              <w:rPr>
                <w:sz w:val="17"/>
                <w:szCs w:val="17"/>
                <w:color w:val="auto"/>
              </w:rPr>
            </w:pPr>
          </w:p>
        </w:tc>
        <w:tc>
          <w:tcPr>
            <w:tcW w:w="1600" w:type="dxa"/>
            <w:vAlign w:val="bottom"/>
            <w:gridSpan w:val="15"/>
          </w:tcPr>
          <w:p>
            <w:pPr>
              <w:spacing w:after="0" w:line="196" w:lineRule="exact"/>
              <w:rPr>
                <w:sz w:val="20"/>
                <w:szCs w:val="20"/>
                <w:color w:val="auto"/>
              </w:rPr>
            </w:pPr>
            <w:r>
              <w:rPr>
                <w:rFonts w:ascii="Arial" w:cs="Arial" w:eastAsia="Arial" w:hAnsi="Arial"/>
                <w:sz w:val="20"/>
                <w:szCs w:val="20"/>
                <w:color w:val="auto"/>
                <w:w w:val="90"/>
              </w:rPr>
              <w:t>Material Non-Public</w:t>
            </w: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20" w:type="dxa"/>
            <w:vAlign w:val="bottom"/>
            <w:gridSpan w:val="14"/>
          </w:tcPr>
          <w:p>
            <w:pPr>
              <w:jc w:val="right"/>
              <w:ind w:right="101"/>
              <w:spacing w:after="0" w:line="196" w:lineRule="exact"/>
              <w:rPr>
                <w:sz w:val="20"/>
                <w:szCs w:val="20"/>
                <w:color w:val="auto"/>
              </w:rPr>
            </w:pPr>
            <w:r>
              <w:rPr>
                <w:rFonts w:ascii="Arial" w:cs="Arial" w:eastAsia="Arial" w:hAnsi="Arial"/>
                <w:sz w:val="20"/>
                <w:szCs w:val="20"/>
                <w:color w:val="auto"/>
                <w:w w:val="79"/>
              </w:rPr>
              <w:t>Information</w:t>
            </w:r>
          </w:p>
        </w:tc>
        <w:tc>
          <w:tcPr>
            <w:tcW w:w="200" w:type="dxa"/>
            <w:vAlign w:val="bottom"/>
          </w:tcPr>
          <w:p>
            <w:pPr>
              <w:jc w:val="right"/>
              <w:spacing w:after="0" w:line="196" w:lineRule="exact"/>
              <w:rPr>
                <w:sz w:val="20"/>
                <w:szCs w:val="20"/>
                <w:color w:val="auto"/>
              </w:rPr>
            </w:pPr>
            <w:r>
              <w:rPr>
                <w:rFonts w:ascii="Arial" w:cs="Arial" w:eastAsia="Arial" w:hAnsi="Arial"/>
                <w:sz w:val="20"/>
                <w:szCs w:val="20"/>
                <w:color w:val="FF0000"/>
                <w:strike w:val="1"/>
                <w:w w:val="80"/>
              </w:rPr>
              <w:t>90</w:t>
            </w:r>
          </w:p>
        </w:tc>
        <w:tc>
          <w:tcPr>
            <w:tcW w:w="20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0"/>
              </w:rPr>
              <w:t>98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10.14</w:t>
            </w:r>
          </w:p>
        </w:tc>
        <w:tc>
          <w:tcPr>
            <w:tcW w:w="140" w:type="dxa"/>
            <w:vAlign w:val="bottom"/>
          </w:tcPr>
          <w:p>
            <w:pPr>
              <w:spacing w:after="0"/>
              <w:rPr>
                <w:sz w:val="17"/>
                <w:szCs w:val="17"/>
                <w:color w:val="auto"/>
              </w:rPr>
            </w:pPr>
          </w:p>
        </w:tc>
        <w:tc>
          <w:tcPr>
            <w:tcW w:w="2000" w:type="dxa"/>
            <w:vAlign w:val="bottom"/>
            <w:gridSpan w:val="20"/>
          </w:tcPr>
          <w:p>
            <w:pPr>
              <w:spacing w:after="0" w:line="196" w:lineRule="exact"/>
              <w:rPr>
                <w:sz w:val="20"/>
                <w:szCs w:val="20"/>
                <w:color w:val="auto"/>
              </w:rPr>
            </w:pPr>
            <w:r>
              <w:rPr>
                <w:rFonts w:ascii="Arial" w:cs="Arial" w:eastAsia="Arial" w:hAnsi="Arial"/>
                <w:sz w:val="20"/>
                <w:szCs w:val="20"/>
                <w:color w:val="auto"/>
                <w:w w:val="96"/>
              </w:rPr>
              <w:t>Interest Rate Limitation</w:t>
            </w:r>
          </w:p>
        </w:tc>
        <w:tc>
          <w:tcPr>
            <w:tcW w:w="280" w:type="dxa"/>
            <w:vAlign w:val="bottom"/>
            <w:gridSpan w:val="4"/>
          </w:tcPr>
          <w:p>
            <w:pPr>
              <w:jc w:val="right"/>
              <w:spacing w:after="0" w:line="196" w:lineRule="exact"/>
              <w:rPr>
                <w:sz w:val="20"/>
                <w:szCs w:val="20"/>
                <w:color w:val="auto"/>
              </w:rPr>
            </w:pPr>
            <w:r>
              <w:rPr>
                <w:rFonts w:ascii="Arial" w:cs="Arial" w:eastAsia="Arial" w:hAnsi="Arial"/>
                <w:sz w:val="20"/>
                <w:szCs w:val="20"/>
                <w:color w:val="FF0000"/>
                <w:strike w:val="1"/>
              </w:rPr>
              <w:t>91</w:t>
            </w:r>
          </w:p>
        </w:tc>
        <w:tc>
          <w:tcPr>
            <w:tcW w:w="200" w:type="dxa"/>
            <w:vAlign w:val="bottom"/>
            <w:tcBorders>
              <w:bottom w:val="single" w:sz="8" w:color="0000FF"/>
            </w:tcBorders>
            <w:gridSpan w:val="4"/>
          </w:tcPr>
          <w:p>
            <w:pPr>
              <w:jc w:val="right"/>
              <w:spacing w:after="0" w:line="196" w:lineRule="exact"/>
              <w:rPr>
                <w:sz w:val="20"/>
                <w:szCs w:val="20"/>
                <w:color w:val="auto"/>
              </w:rPr>
            </w:pPr>
            <w:r>
              <w:rPr>
                <w:rFonts w:ascii="Arial" w:cs="Arial" w:eastAsia="Arial" w:hAnsi="Arial"/>
                <w:sz w:val="20"/>
                <w:szCs w:val="20"/>
                <w:color w:val="0000FF"/>
                <w:w w:val="80"/>
              </w:rPr>
              <w:t>99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10.15</w:t>
            </w:r>
          </w:p>
        </w:tc>
        <w:tc>
          <w:tcPr>
            <w:tcW w:w="140" w:type="dxa"/>
            <w:vAlign w:val="bottom"/>
          </w:tcPr>
          <w:p>
            <w:pPr>
              <w:spacing w:after="0"/>
              <w:rPr>
                <w:sz w:val="17"/>
                <w:szCs w:val="17"/>
                <w:color w:val="auto"/>
              </w:rPr>
            </w:pPr>
          </w:p>
        </w:tc>
        <w:tc>
          <w:tcPr>
            <w:tcW w:w="1600" w:type="dxa"/>
            <w:vAlign w:val="bottom"/>
            <w:gridSpan w:val="15"/>
          </w:tcPr>
          <w:p>
            <w:pPr>
              <w:spacing w:after="0" w:line="196" w:lineRule="exact"/>
              <w:rPr>
                <w:sz w:val="20"/>
                <w:szCs w:val="20"/>
                <w:color w:val="auto"/>
              </w:rPr>
            </w:pPr>
            <w:r>
              <w:rPr>
                <w:rFonts w:ascii="Arial" w:cs="Arial" w:eastAsia="Arial" w:hAnsi="Arial"/>
                <w:sz w:val="20"/>
                <w:szCs w:val="20"/>
                <w:color w:val="auto"/>
                <w:w w:val="90"/>
              </w:rPr>
              <w:t>Judgment Currency</w:t>
            </w:r>
          </w:p>
        </w:tc>
        <w:tc>
          <w:tcPr>
            <w:tcW w:w="360" w:type="dxa"/>
            <w:vAlign w:val="bottom"/>
            <w:gridSpan w:val="3"/>
          </w:tcPr>
          <w:p>
            <w:pPr>
              <w:jc w:val="right"/>
              <w:spacing w:after="0" w:line="196" w:lineRule="exact"/>
              <w:rPr>
                <w:sz w:val="20"/>
                <w:szCs w:val="20"/>
                <w:color w:val="auto"/>
              </w:rPr>
            </w:pPr>
            <w:r>
              <w:rPr>
                <w:rFonts w:ascii="Arial" w:cs="Arial" w:eastAsia="Arial" w:hAnsi="Arial"/>
                <w:sz w:val="20"/>
                <w:szCs w:val="20"/>
                <w:color w:val="FF0000"/>
                <w:strike w:val="1"/>
              </w:rPr>
              <w:t>91</w:t>
            </w:r>
          </w:p>
        </w:tc>
        <w:tc>
          <w:tcPr>
            <w:tcW w:w="220" w:type="dxa"/>
            <w:vAlign w:val="bottom"/>
            <w:gridSpan w:val="4"/>
          </w:tcPr>
          <w:p>
            <w:pPr>
              <w:jc w:val="right"/>
              <w:ind w:right="20"/>
              <w:spacing w:after="0" w:line="196" w:lineRule="exact"/>
              <w:rPr>
                <w:sz w:val="20"/>
                <w:szCs w:val="20"/>
                <w:color w:val="auto"/>
              </w:rPr>
            </w:pPr>
            <w:r>
              <w:rPr>
                <w:rFonts w:ascii="Arial" w:cs="Arial" w:eastAsia="Arial" w:hAnsi="Arial"/>
                <w:sz w:val="20"/>
                <w:szCs w:val="20"/>
                <w:color w:val="0000FF"/>
                <w:w w:val="80"/>
              </w:rPr>
              <w:t>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10.16</w:t>
            </w:r>
          </w:p>
        </w:tc>
        <w:tc>
          <w:tcPr>
            <w:tcW w:w="140" w:type="dxa"/>
            <w:vAlign w:val="bottom"/>
          </w:tcPr>
          <w:p>
            <w:pPr>
              <w:spacing w:after="0"/>
              <w:rPr>
                <w:sz w:val="17"/>
                <w:szCs w:val="17"/>
                <w:color w:val="auto"/>
              </w:rPr>
            </w:pPr>
          </w:p>
        </w:tc>
        <w:tc>
          <w:tcPr>
            <w:tcW w:w="1600" w:type="dxa"/>
            <w:vAlign w:val="bottom"/>
            <w:gridSpan w:val="15"/>
          </w:tcPr>
          <w:p>
            <w:pPr>
              <w:spacing w:after="0" w:line="196" w:lineRule="exact"/>
              <w:rPr>
                <w:sz w:val="20"/>
                <w:szCs w:val="20"/>
                <w:color w:val="auto"/>
              </w:rPr>
            </w:pPr>
            <w:r>
              <w:rPr>
                <w:rFonts w:ascii="Arial" w:cs="Arial" w:eastAsia="Arial" w:hAnsi="Arial"/>
                <w:sz w:val="20"/>
                <w:szCs w:val="20"/>
                <w:color w:val="auto"/>
                <w:w w:val="94"/>
              </w:rPr>
              <w:t>USA PATRIOT Act</w:t>
            </w:r>
          </w:p>
        </w:tc>
        <w:tc>
          <w:tcPr>
            <w:tcW w:w="360" w:type="dxa"/>
            <w:vAlign w:val="bottom"/>
            <w:gridSpan w:val="3"/>
          </w:tcPr>
          <w:p>
            <w:pPr>
              <w:jc w:val="right"/>
              <w:spacing w:after="0" w:line="196" w:lineRule="exact"/>
              <w:rPr>
                <w:sz w:val="20"/>
                <w:szCs w:val="20"/>
                <w:color w:val="auto"/>
              </w:rPr>
            </w:pPr>
            <w:r>
              <w:rPr>
                <w:rFonts w:ascii="Arial" w:cs="Arial" w:eastAsia="Arial" w:hAnsi="Arial"/>
                <w:sz w:val="20"/>
                <w:szCs w:val="20"/>
                <w:color w:val="FF0000"/>
                <w:strike w:val="1"/>
              </w:rPr>
              <w:t>91</w:t>
            </w: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Arial" w:cs="Arial" w:eastAsia="Arial" w:hAnsi="Arial"/>
                <w:sz w:val="20"/>
                <w:szCs w:val="20"/>
                <w:color w:val="0000FF"/>
                <w:w w:val="71"/>
              </w:rPr>
              <w:t>99</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10.17</w:t>
            </w:r>
          </w:p>
        </w:tc>
        <w:tc>
          <w:tcPr>
            <w:tcW w:w="140" w:type="dxa"/>
            <w:vAlign w:val="bottom"/>
          </w:tcPr>
          <w:p>
            <w:pPr>
              <w:spacing w:after="0"/>
              <w:rPr>
                <w:sz w:val="17"/>
                <w:szCs w:val="17"/>
                <w:color w:val="auto"/>
              </w:rPr>
            </w:pPr>
          </w:p>
        </w:tc>
        <w:tc>
          <w:tcPr>
            <w:tcW w:w="1980" w:type="dxa"/>
            <w:vAlign w:val="bottom"/>
            <w:gridSpan w:val="19"/>
          </w:tcPr>
          <w:p>
            <w:pPr>
              <w:spacing w:after="0" w:line="196" w:lineRule="exact"/>
              <w:rPr>
                <w:sz w:val="20"/>
                <w:szCs w:val="20"/>
                <w:color w:val="auto"/>
              </w:rPr>
            </w:pPr>
            <w:r>
              <w:rPr>
                <w:rFonts w:ascii="Arial" w:cs="Arial" w:eastAsia="Arial" w:hAnsi="Arial"/>
                <w:sz w:val="20"/>
                <w:szCs w:val="20"/>
                <w:color w:val="auto"/>
                <w:w w:val="89"/>
              </w:rPr>
              <w:t>No Advisory or Fiduciary</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12"/>
          </w:tcPr>
          <w:p>
            <w:pPr>
              <w:spacing w:after="0" w:line="196" w:lineRule="exact"/>
              <w:rPr>
                <w:sz w:val="20"/>
                <w:szCs w:val="20"/>
                <w:color w:val="auto"/>
              </w:rPr>
            </w:pPr>
            <w:r>
              <w:rPr>
                <w:rFonts w:ascii="Arial" w:cs="Arial" w:eastAsia="Arial" w:hAnsi="Arial"/>
                <w:sz w:val="20"/>
                <w:szCs w:val="20"/>
                <w:color w:val="auto"/>
                <w:w w:val="84"/>
              </w:rPr>
              <w:t>Responsibility</w:t>
            </w:r>
          </w:p>
        </w:tc>
        <w:tc>
          <w:tcPr>
            <w:tcW w:w="200" w:type="dxa"/>
            <w:vAlign w:val="bottom"/>
          </w:tcPr>
          <w:p>
            <w:pPr>
              <w:spacing w:after="0"/>
              <w:rPr>
                <w:sz w:val="17"/>
                <w:szCs w:val="17"/>
                <w:color w:val="auto"/>
              </w:rPr>
            </w:pPr>
          </w:p>
        </w:tc>
        <w:tc>
          <w:tcPr>
            <w:tcW w:w="200" w:type="dxa"/>
            <w:vAlign w:val="bottom"/>
            <w:gridSpan w:val="2"/>
          </w:tcPr>
          <w:p>
            <w:pPr>
              <w:spacing w:after="0" w:line="196" w:lineRule="exact"/>
              <w:rPr>
                <w:sz w:val="20"/>
                <w:szCs w:val="20"/>
                <w:color w:val="auto"/>
              </w:rPr>
            </w:pPr>
            <w:r>
              <w:rPr>
                <w:rFonts w:ascii="Arial" w:cs="Arial" w:eastAsia="Arial" w:hAnsi="Arial"/>
                <w:sz w:val="20"/>
                <w:szCs w:val="20"/>
                <w:color w:val="FF0000"/>
                <w:strike w:val="1"/>
                <w:w w:val="80"/>
              </w:rPr>
              <w:t>92</w:t>
            </w:r>
          </w:p>
        </w:tc>
        <w:tc>
          <w:tcPr>
            <w:tcW w:w="300" w:type="dxa"/>
            <w:vAlign w:val="bottom"/>
            <w:tcBorders>
              <w:bottom w:val="single" w:sz="8" w:color="0000FF"/>
            </w:tcBorders>
            <w:gridSpan w:val="2"/>
          </w:tcPr>
          <w:p>
            <w:pPr>
              <w:jc w:val="right"/>
              <w:spacing w:after="0" w:line="196" w:lineRule="exact"/>
              <w:rPr>
                <w:sz w:val="20"/>
                <w:szCs w:val="20"/>
                <w:color w:val="auto"/>
              </w:rPr>
            </w:pPr>
            <w:r>
              <w:rPr>
                <w:rFonts w:ascii="Arial" w:cs="Arial" w:eastAsia="Arial" w:hAnsi="Arial"/>
                <w:sz w:val="20"/>
                <w:szCs w:val="20"/>
                <w:color w:val="0000FF"/>
                <w:w w:val="83"/>
              </w:rPr>
              <w:t>100</w:t>
            </w: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10.18</w:t>
            </w:r>
          </w:p>
        </w:tc>
        <w:tc>
          <w:tcPr>
            <w:tcW w:w="140" w:type="dxa"/>
            <w:vAlign w:val="bottom"/>
          </w:tcPr>
          <w:p>
            <w:pPr>
              <w:spacing w:after="0"/>
              <w:rPr>
                <w:sz w:val="17"/>
                <w:szCs w:val="17"/>
                <w:color w:val="auto"/>
              </w:rPr>
            </w:pPr>
          </w:p>
        </w:tc>
        <w:tc>
          <w:tcPr>
            <w:tcW w:w="3240" w:type="dxa"/>
            <w:vAlign w:val="bottom"/>
            <w:gridSpan w:val="34"/>
          </w:tcPr>
          <w:p>
            <w:pPr>
              <w:spacing w:after="0" w:line="196" w:lineRule="exact"/>
              <w:rPr>
                <w:sz w:val="20"/>
                <w:szCs w:val="20"/>
                <w:color w:val="auto"/>
              </w:rPr>
            </w:pPr>
            <w:r>
              <w:rPr>
                <w:rFonts w:ascii="Arial" w:cs="Arial" w:eastAsia="Arial" w:hAnsi="Arial"/>
                <w:sz w:val="20"/>
                <w:szCs w:val="20"/>
                <w:color w:val="auto"/>
                <w:w w:val="97"/>
              </w:rPr>
              <w:t>Several Liability of Certain Borrowers</w:t>
            </w:r>
          </w:p>
        </w:tc>
        <w:tc>
          <w:tcPr>
            <w:tcW w:w="220" w:type="dxa"/>
            <w:vAlign w:val="bottom"/>
            <w:gridSpan w:val="2"/>
          </w:tcPr>
          <w:p>
            <w:pPr>
              <w:jc w:val="right"/>
              <w:spacing w:after="0" w:line="196" w:lineRule="exact"/>
              <w:rPr>
                <w:sz w:val="20"/>
                <w:szCs w:val="20"/>
                <w:color w:val="auto"/>
              </w:rPr>
            </w:pPr>
            <w:r>
              <w:rPr>
                <w:rFonts w:ascii="Arial" w:cs="Arial" w:eastAsia="Arial" w:hAnsi="Arial"/>
                <w:sz w:val="20"/>
                <w:szCs w:val="20"/>
                <w:color w:val="FF0000"/>
                <w:strike w:val="1"/>
                <w:w w:val="89"/>
              </w:rPr>
              <w:t>92</w:t>
            </w:r>
          </w:p>
        </w:tc>
        <w:tc>
          <w:tcPr>
            <w:tcW w:w="480" w:type="dxa"/>
            <w:vAlign w:val="bottom"/>
            <w:gridSpan w:val="3"/>
          </w:tcPr>
          <w:p>
            <w:pPr>
              <w:spacing w:after="0" w:line="196" w:lineRule="exact"/>
              <w:rPr>
                <w:sz w:val="20"/>
                <w:szCs w:val="20"/>
                <w:color w:val="auto"/>
              </w:rPr>
            </w:pPr>
            <w:r>
              <w:rPr>
                <w:rFonts w:ascii="Arial" w:cs="Arial" w:eastAsia="Arial" w:hAnsi="Arial"/>
                <w:sz w:val="20"/>
                <w:szCs w:val="20"/>
                <w:color w:val="0000FF"/>
              </w:rPr>
              <w:t>100</w:t>
            </w: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ind w:left="660"/>
              <w:spacing w:after="0" w:line="227" w:lineRule="exact"/>
              <w:rPr>
                <w:sz w:val="20"/>
                <w:szCs w:val="20"/>
                <w:color w:val="auto"/>
              </w:rPr>
            </w:pPr>
            <w:r>
              <w:rPr>
                <w:rFonts w:ascii="Arial" w:cs="Arial" w:eastAsia="Arial" w:hAnsi="Arial"/>
                <w:sz w:val="20"/>
                <w:szCs w:val="20"/>
                <w:color w:val="auto"/>
                <w:w w:val="91"/>
              </w:rPr>
              <w:t>Section 10.19</w:t>
            </w:r>
          </w:p>
        </w:tc>
        <w:tc>
          <w:tcPr>
            <w:tcW w:w="3600" w:type="dxa"/>
            <w:vAlign w:val="bottom"/>
            <w:gridSpan w:val="37"/>
            <w:vMerge w:val="restart"/>
          </w:tcPr>
          <w:p>
            <w:pPr>
              <w:ind w:left="140"/>
              <w:spacing w:after="0" w:line="227" w:lineRule="exact"/>
              <w:rPr>
                <w:sz w:val="20"/>
                <w:szCs w:val="20"/>
                <w:color w:val="auto"/>
              </w:rPr>
            </w:pPr>
            <w:r>
              <w:rPr>
                <w:rFonts w:ascii="Arial" w:cs="Arial" w:eastAsia="Arial" w:hAnsi="Arial"/>
                <w:sz w:val="20"/>
                <w:szCs w:val="20"/>
                <w:color w:val="auto"/>
                <w:w w:val="91"/>
              </w:rPr>
              <w:t>Acknowledgment and Consent to Bail-In of</w:t>
            </w:r>
          </w:p>
        </w:tc>
        <w:tc>
          <w:tcPr>
            <w:tcW w:w="280" w:type="dxa"/>
            <w:vAlign w:val="bottom"/>
            <w:gridSpan w:val="2"/>
            <w:shd w:val="clear" w:color="auto" w:fill="0000FF"/>
          </w:tcPr>
          <w:p>
            <w:pPr>
              <w:spacing w:after="0" w:line="20" w:lineRule="exact"/>
              <w:rPr>
                <w:sz w:val="1"/>
                <w:szCs w:val="1"/>
                <w:color w:val="auto"/>
              </w:rPr>
            </w:pPr>
          </w:p>
        </w:tc>
        <w:tc>
          <w:tcPr>
            <w:tcW w:w="570" w:type="dxa"/>
            <w:vAlign w:val="bottom"/>
            <w:gridSpan w:val="2"/>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0" w:type="dxa"/>
            <w:vAlign w:val="bottom"/>
            <w:vMerge w:val="continue"/>
          </w:tcPr>
          <w:p>
            <w:pPr>
              <w:spacing w:after="0"/>
              <w:rPr>
                <w:sz w:val="17"/>
                <w:szCs w:val="17"/>
                <w:color w:val="auto"/>
              </w:rPr>
            </w:pPr>
          </w:p>
        </w:tc>
        <w:tc>
          <w:tcPr>
            <w:tcW w:w="3600" w:type="dxa"/>
            <w:vAlign w:val="bottom"/>
            <w:gridSpan w:val="37"/>
            <w:vMerge w:val="continue"/>
          </w:tcPr>
          <w:p>
            <w:pPr>
              <w:spacing w:after="0"/>
              <w:rPr>
                <w:sz w:val="17"/>
                <w:szCs w:val="17"/>
                <w:color w:val="auto"/>
              </w:rPr>
            </w:pPr>
          </w:p>
        </w:tc>
        <w:tc>
          <w:tcPr>
            <w:tcW w:w="2600" w:type="dxa"/>
            <w:vAlign w:val="bottom"/>
            <w:gridSpan w:val="16"/>
          </w:tcPr>
          <w:p>
            <w:pPr>
              <w:ind w:left="40"/>
              <w:spacing w:after="0" w:line="207" w:lineRule="exact"/>
              <w:rPr>
                <w:sz w:val="20"/>
                <w:szCs w:val="20"/>
                <w:color w:val="auto"/>
              </w:rPr>
            </w:pPr>
            <w:r>
              <w:rPr>
                <w:rFonts w:ascii="Arial" w:cs="Arial" w:eastAsia="Arial" w:hAnsi="Arial"/>
                <w:sz w:val="20"/>
                <w:szCs w:val="20"/>
                <w:color w:val="auto"/>
              </w:rPr>
              <w:t>Affected Financial</w:t>
            </w:r>
          </w:p>
        </w:tc>
        <w:tc>
          <w:tcPr>
            <w:tcW w:w="0" w:type="dxa"/>
            <w:vAlign w:val="bottom"/>
          </w:tcPr>
          <w:p>
            <w:pPr>
              <w:spacing w:after="0"/>
              <w:rPr>
                <w:sz w:val="1"/>
                <w:szCs w:val="1"/>
                <w:color w:val="auto"/>
              </w:rPr>
            </w:pPr>
          </w:p>
        </w:tc>
      </w:tr>
      <w:tr>
        <w:trPr>
          <w:trHeight w:val="206"/>
        </w:trPr>
        <w:tc>
          <w:tcPr>
            <w:tcW w:w="1800" w:type="dxa"/>
            <w:vAlign w:val="bottom"/>
          </w:tcPr>
          <w:p>
            <w:pPr>
              <w:ind w:left="860"/>
              <w:spacing w:after="0" w:line="206" w:lineRule="exact"/>
              <w:rPr>
                <w:sz w:val="20"/>
                <w:szCs w:val="20"/>
                <w:color w:val="auto"/>
              </w:rPr>
            </w:pPr>
            <w:r>
              <w:rPr>
                <w:rFonts w:ascii="Arial" w:cs="Arial" w:eastAsia="Arial" w:hAnsi="Arial"/>
                <w:sz w:val="20"/>
                <w:szCs w:val="20"/>
                <w:color w:val="auto"/>
                <w:w w:val="96"/>
              </w:rPr>
              <w:t>Institutions</w:t>
            </w:r>
          </w:p>
        </w:tc>
        <w:tc>
          <w:tcPr>
            <w:tcW w:w="140" w:type="dxa"/>
            <w:vAlign w:val="bottom"/>
          </w:tcPr>
          <w:p>
            <w:pPr>
              <w:spacing w:after="0"/>
              <w:rPr>
                <w:sz w:val="17"/>
                <w:szCs w:val="17"/>
                <w:color w:val="auto"/>
              </w:rPr>
            </w:pPr>
          </w:p>
        </w:tc>
        <w:tc>
          <w:tcPr>
            <w:tcW w:w="200" w:type="dxa"/>
            <w:vAlign w:val="bottom"/>
          </w:tcPr>
          <w:p>
            <w:pPr>
              <w:spacing w:after="0" w:line="206" w:lineRule="exact"/>
              <w:rPr>
                <w:sz w:val="20"/>
                <w:szCs w:val="20"/>
                <w:color w:val="auto"/>
              </w:rPr>
            </w:pPr>
            <w:r>
              <w:rPr>
                <w:rFonts w:ascii="Arial" w:cs="Arial" w:eastAsia="Arial" w:hAnsi="Arial"/>
                <w:sz w:val="20"/>
                <w:szCs w:val="20"/>
                <w:color w:val="FF0000"/>
                <w:strike w:val="1"/>
                <w:w w:val="80"/>
              </w:rPr>
              <w:t>92</w:t>
            </w:r>
          </w:p>
        </w:tc>
        <w:tc>
          <w:tcPr>
            <w:tcW w:w="300" w:type="dxa"/>
            <w:vAlign w:val="bottom"/>
            <w:tcBorders>
              <w:bottom w:val="single" w:sz="8" w:color="0000FF"/>
            </w:tcBorders>
          </w:tcPr>
          <w:p>
            <w:pPr>
              <w:spacing w:after="0" w:line="206" w:lineRule="exact"/>
              <w:rPr>
                <w:sz w:val="20"/>
                <w:szCs w:val="20"/>
                <w:color w:val="auto"/>
              </w:rPr>
            </w:pPr>
            <w:r>
              <w:rPr>
                <w:rFonts w:ascii="Arial" w:cs="Arial" w:eastAsia="Arial" w:hAnsi="Arial"/>
                <w:sz w:val="20"/>
                <w:szCs w:val="20"/>
                <w:color w:val="0000FF"/>
                <w:w w:val="83"/>
              </w:rPr>
              <w:t>100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 w:type="dxa"/>
            <w:vAlign w:val="bottom"/>
          </w:tcPr>
          <w:p>
            <w:pPr>
              <w:spacing w:after="0"/>
              <w:rPr>
                <w:sz w:val="17"/>
                <w:szCs w:val="17"/>
                <w:color w:val="auto"/>
              </w:rPr>
            </w:pPr>
          </w:p>
        </w:tc>
        <w:tc>
          <w:tcPr>
            <w:tcW w:w="21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10.20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10" w:type="dxa"/>
            <w:vAlign w:val="bottom"/>
            <w:gridSpan w:val="39"/>
          </w:tcPr>
          <w:p>
            <w:pPr>
              <w:spacing w:after="0" w:line="196" w:lineRule="exact"/>
              <w:rPr>
                <w:sz w:val="20"/>
                <w:szCs w:val="20"/>
                <w:color w:val="auto"/>
              </w:rPr>
            </w:pPr>
            <w:r>
              <w:rPr>
                <w:rFonts w:ascii="Arial" w:cs="Arial" w:eastAsia="Arial" w:hAnsi="Arial"/>
                <w:sz w:val="20"/>
                <w:szCs w:val="20"/>
                <w:color w:val="auto"/>
                <w:w w:val="89"/>
              </w:rPr>
              <w:t>Acknowledgement Regarding Any Supported QFCs</w:t>
            </w:r>
          </w:p>
        </w:tc>
        <w:tc>
          <w:tcPr>
            <w:tcW w:w="210" w:type="dxa"/>
            <w:vAlign w:val="bottom"/>
          </w:tcPr>
          <w:p>
            <w:pPr>
              <w:jc w:val="right"/>
              <w:spacing w:after="0" w:line="196" w:lineRule="exact"/>
              <w:rPr>
                <w:sz w:val="20"/>
                <w:szCs w:val="20"/>
                <w:color w:val="auto"/>
              </w:rPr>
            </w:pPr>
            <w:r>
              <w:rPr>
                <w:rFonts w:ascii="Arial" w:cs="Arial" w:eastAsia="Arial" w:hAnsi="Arial"/>
                <w:sz w:val="20"/>
                <w:szCs w:val="20"/>
                <w:color w:val="FF0000"/>
                <w:strike w:val="1"/>
                <w:w w:val="80"/>
              </w:rPr>
              <w:t>93</w:t>
            </w:r>
          </w:p>
        </w:tc>
        <w:tc>
          <w:tcPr>
            <w:tcW w:w="3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20"/>
                <w:szCs w:val="20"/>
                <w:color w:val="0000FF"/>
                <w:w w:val="83"/>
              </w:rPr>
              <w:t>101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660"/>
              <w:spacing w:after="0" w:line="196" w:lineRule="exact"/>
              <w:rPr>
                <w:sz w:val="20"/>
                <w:szCs w:val="20"/>
                <w:color w:val="auto"/>
              </w:rPr>
            </w:pPr>
            <w:r>
              <w:rPr>
                <w:rFonts w:ascii="Arial" w:cs="Arial" w:eastAsia="Arial" w:hAnsi="Arial"/>
                <w:sz w:val="20"/>
                <w:szCs w:val="20"/>
                <w:color w:val="auto"/>
                <w:w w:val="91"/>
              </w:rPr>
              <w:t>Section 10.21</w:t>
            </w:r>
          </w:p>
        </w:tc>
        <w:tc>
          <w:tcPr>
            <w:tcW w:w="140" w:type="dxa"/>
            <w:vAlign w:val="bottom"/>
          </w:tcPr>
          <w:p>
            <w:pPr>
              <w:spacing w:after="0"/>
              <w:rPr>
                <w:sz w:val="17"/>
                <w:szCs w:val="17"/>
                <w:color w:val="auto"/>
              </w:rPr>
            </w:pPr>
          </w:p>
        </w:tc>
        <w:tc>
          <w:tcPr>
            <w:tcW w:w="4520" w:type="dxa"/>
            <w:vAlign w:val="bottom"/>
            <w:gridSpan w:val="41"/>
          </w:tcPr>
          <w:p>
            <w:pPr>
              <w:spacing w:after="0" w:line="196" w:lineRule="exact"/>
              <w:rPr>
                <w:sz w:val="20"/>
                <w:szCs w:val="20"/>
                <w:color w:val="auto"/>
              </w:rPr>
            </w:pPr>
            <w:r>
              <w:rPr>
                <w:rFonts w:ascii="Arial" w:cs="Arial" w:eastAsia="Arial" w:hAnsi="Arial"/>
                <w:sz w:val="20"/>
                <w:szCs w:val="20"/>
                <w:color w:val="auto"/>
                <w:w w:val="92"/>
              </w:rPr>
              <w:t>Electronic Execution of Assignments and Certain Other</w:t>
            </w:r>
          </w:p>
        </w:tc>
        <w:tc>
          <w:tcPr>
            <w:tcW w:w="1040" w:type="dxa"/>
            <w:vAlign w:val="bottom"/>
            <w:gridSpan w:val="9"/>
          </w:tcPr>
          <w:p>
            <w:pPr>
              <w:spacing w:after="0" w:line="196" w:lineRule="exact"/>
              <w:rPr>
                <w:sz w:val="20"/>
                <w:szCs w:val="20"/>
                <w:color w:val="auto"/>
              </w:rPr>
            </w:pPr>
            <w:r>
              <w:rPr>
                <w:rFonts w:ascii="Arial" w:cs="Arial" w:eastAsia="Arial" w:hAnsi="Arial"/>
                <w:sz w:val="20"/>
                <w:szCs w:val="20"/>
                <w:color w:val="auto"/>
              </w:rPr>
              <w:t>Documents</w:t>
            </w:r>
          </w:p>
        </w:tc>
        <w:tc>
          <w:tcPr>
            <w:tcW w:w="200" w:type="dxa"/>
            <w:vAlign w:val="bottom"/>
          </w:tcPr>
          <w:p>
            <w:pPr>
              <w:jc w:val="right"/>
              <w:spacing w:after="0" w:line="196" w:lineRule="exact"/>
              <w:rPr>
                <w:sz w:val="20"/>
                <w:szCs w:val="20"/>
                <w:color w:val="auto"/>
              </w:rPr>
            </w:pPr>
            <w:r>
              <w:rPr>
                <w:rFonts w:ascii="Arial" w:cs="Arial" w:eastAsia="Arial" w:hAnsi="Arial"/>
                <w:sz w:val="20"/>
                <w:szCs w:val="20"/>
                <w:color w:val="FF0000"/>
                <w:strike w:val="1"/>
                <w:w w:val="80"/>
              </w:rPr>
              <w:t>94</w:t>
            </w:r>
          </w:p>
        </w:tc>
        <w:tc>
          <w:tcPr>
            <w:tcW w:w="300" w:type="dxa"/>
            <w:vAlign w:val="bottom"/>
            <w:tcBorders>
              <w:bottom w:val="single" w:sz="8" w:color="0000FF"/>
            </w:tcBorders>
          </w:tcPr>
          <w:p>
            <w:pPr>
              <w:jc w:val="right"/>
              <w:spacing w:after="0" w:line="196" w:lineRule="exact"/>
              <w:rPr>
                <w:sz w:val="20"/>
                <w:szCs w:val="20"/>
                <w:color w:val="auto"/>
              </w:rPr>
            </w:pPr>
            <w:r>
              <w:rPr>
                <w:rFonts w:ascii="Arial" w:cs="Arial" w:eastAsia="Arial" w:hAnsi="Arial"/>
                <w:sz w:val="20"/>
                <w:szCs w:val="20"/>
                <w:color w:val="0000FF"/>
                <w:w w:val="83"/>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NAI-1523373604v</w:t>
      </w:r>
      <w:r>
        <w:rPr>
          <w:rFonts w:ascii="Arial" w:cs="Arial" w:eastAsia="Arial" w:hAnsi="Arial"/>
          <w:sz w:val="16"/>
          <w:szCs w:val="16"/>
          <w:color w:val="FF0000"/>
          <w:strike w:val="1"/>
        </w:rPr>
        <w:t>1</w:t>
      </w:r>
      <w:r>
        <w:rPr>
          <w:rFonts w:ascii="Arial" w:cs="Arial" w:eastAsia="Arial" w:hAnsi="Arial"/>
          <w:sz w:val="16"/>
          <w:szCs w:val="16"/>
          <w:u w:val="single" w:color="auto"/>
          <w:color w:val="0000FF"/>
        </w:rPr>
        <w:t>6</w:t>
      </w:r>
    </w:p>
    <w:p>
      <w:pPr>
        <w:sectPr>
          <w:pgSz w:w="11900" w:h="16838" w:orient="portrait"/>
          <w:cols w:equalWidth="0" w:num="1">
            <w:col w:w="11240"/>
          </w:cols>
          <w:pgMar w:left="320" w:top="104" w:right="339" w:bottom="1440" w:gutter="0" w:footer="0" w:header="0"/>
        </w:sectPr>
      </w:pPr>
    </w:p>
    <w:bookmarkStart w:id="69" w:name="page70"/>
    <w:bookmarkEnd w:id="69"/>
    <w:p>
      <w:pPr>
        <w:spacing w:after="0"/>
        <w:rPr>
          <w:sz w:val="20"/>
          <w:szCs w:val="20"/>
          <w:color w:val="auto"/>
        </w:rPr>
      </w:pPr>
      <w:r>
        <w:rPr>
          <w:rFonts w:ascii="Arial" w:cs="Arial" w:eastAsia="Arial" w:hAnsi="Arial"/>
          <w:sz w:val="20"/>
          <w:szCs w:val="20"/>
          <w:color w:val="auto"/>
        </w:rPr>
        <w:t>SCHEDULES:</w:t>
      </w:r>
    </w:p>
    <w:p>
      <w:pPr>
        <w:spacing w:after="0" w:line="197" w:lineRule="auto"/>
        <w:rPr>
          <w:sz w:val="20"/>
          <w:szCs w:val="20"/>
          <w:color w:val="auto"/>
        </w:rPr>
      </w:pPr>
      <w:r>
        <w:rPr>
          <w:rFonts w:ascii="Arial" w:cs="Arial" w:eastAsia="Arial" w:hAnsi="Arial"/>
          <w:sz w:val="20"/>
          <w:szCs w:val="20"/>
          <w:color w:val="auto"/>
        </w:rPr>
        <w:t>Schedule 1.01(a) – Lenders and Commitments</w:t>
      </w:r>
    </w:p>
    <w:p>
      <w:pPr>
        <w:spacing w:after="0" w:line="197" w:lineRule="auto"/>
        <w:rPr>
          <w:sz w:val="20"/>
          <w:szCs w:val="20"/>
          <w:color w:val="auto"/>
        </w:rPr>
      </w:pPr>
      <w:r>
        <w:rPr>
          <w:rFonts w:ascii="Arial" w:cs="Arial" w:eastAsia="Arial" w:hAnsi="Arial"/>
          <w:sz w:val="20"/>
          <w:szCs w:val="20"/>
          <w:color w:val="auto"/>
        </w:rPr>
        <w:t>Schedule 1.01(b) – Subsidiary Guarantors</w:t>
      </w:r>
    </w:p>
    <w:p>
      <w:pPr>
        <w:spacing w:after="0" w:line="197" w:lineRule="auto"/>
        <w:rPr>
          <w:sz w:val="20"/>
          <w:szCs w:val="20"/>
          <w:color w:val="auto"/>
        </w:rPr>
      </w:pPr>
      <w:r>
        <w:rPr>
          <w:rFonts w:ascii="Arial" w:cs="Arial" w:eastAsia="Arial" w:hAnsi="Arial"/>
          <w:sz w:val="20"/>
          <w:szCs w:val="20"/>
          <w:color w:val="auto"/>
        </w:rPr>
        <w:t>Schedule 1.01(c) – Existing Hedge Agreements</w:t>
      </w:r>
    </w:p>
    <w:p>
      <w:pPr>
        <w:spacing w:after="0" w:line="197" w:lineRule="auto"/>
        <w:rPr>
          <w:sz w:val="20"/>
          <w:szCs w:val="20"/>
          <w:color w:val="auto"/>
        </w:rPr>
      </w:pPr>
      <w:r>
        <w:rPr>
          <w:rFonts w:ascii="Arial" w:cs="Arial" w:eastAsia="Arial" w:hAnsi="Arial"/>
          <w:sz w:val="20"/>
          <w:szCs w:val="20"/>
          <w:color w:val="auto"/>
        </w:rPr>
        <w:t>Schedule 1.01(d) – Existing Letters of Credit</w:t>
      </w:r>
    </w:p>
    <w:p>
      <w:pPr>
        <w:spacing w:after="0" w:line="198" w:lineRule="auto"/>
        <w:rPr>
          <w:sz w:val="20"/>
          <w:szCs w:val="20"/>
          <w:color w:val="auto"/>
        </w:rPr>
      </w:pPr>
      <w:r>
        <w:rPr>
          <w:rFonts w:ascii="Arial" w:cs="Arial" w:eastAsia="Arial" w:hAnsi="Arial"/>
          <w:sz w:val="20"/>
          <w:szCs w:val="20"/>
          <w:color w:val="auto"/>
        </w:rPr>
        <w:t>Schedule 3.14 – Subsidiaries</w:t>
      </w:r>
    </w:p>
    <w:p>
      <w:pPr>
        <w:spacing w:after="0" w:line="197" w:lineRule="auto"/>
        <w:rPr>
          <w:sz w:val="20"/>
          <w:szCs w:val="20"/>
          <w:color w:val="auto"/>
        </w:rPr>
      </w:pPr>
      <w:r>
        <w:rPr>
          <w:rFonts w:ascii="Arial" w:cs="Arial" w:eastAsia="Arial" w:hAnsi="Arial"/>
          <w:sz w:val="20"/>
          <w:szCs w:val="20"/>
          <w:color w:val="auto"/>
        </w:rPr>
        <w:t>Schedule 6.03 – Existing Liens</w:t>
      </w:r>
    </w:p>
    <w:p>
      <w:pPr>
        <w:spacing w:after="0"/>
        <w:rPr>
          <w:sz w:val="20"/>
          <w:szCs w:val="20"/>
          <w:color w:val="auto"/>
        </w:rPr>
      </w:pPr>
      <w:r>
        <w:rPr>
          <w:rFonts w:ascii="Arial" w:cs="Arial" w:eastAsia="Arial" w:hAnsi="Arial"/>
          <w:sz w:val="20"/>
          <w:szCs w:val="20"/>
          <w:color w:val="auto"/>
        </w:rPr>
        <w:t>Schedule 6.04 – Existing Indebtedness</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197" w:lineRule="auto"/>
        <w:rPr>
          <w:sz w:val="20"/>
          <w:szCs w:val="20"/>
          <w:color w:val="auto"/>
        </w:rPr>
      </w:pPr>
      <w:r>
        <w:rPr>
          <w:rFonts w:ascii="Arial" w:cs="Arial" w:eastAsia="Arial" w:hAnsi="Arial"/>
          <w:sz w:val="20"/>
          <w:szCs w:val="20"/>
          <w:color w:val="auto"/>
        </w:rPr>
        <w:t>Exhibit A – Form of Assignment and Assumption</w:t>
      </w:r>
    </w:p>
    <w:p>
      <w:pPr>
        <w:spacing w:after="0" w:line="197" w:lineRule="auto"/>
        <w:rPr>
          <w:sz w:val="20"/>
          <w:szCs w:val="20"/>
          <w:color w:val="auto"/>
        </w:rPr>
      </w:pPr>
      <w:r>
        <w:rPr>
          <w:rFonts w:ascii="Arial" w:cs="Arial" w:eastAsia="Arial" w:hAnsi="Arial"/>
          <w:sz w:val="20"/>
          <w:szCs w:val="20"/>
          <w:color w:val="auto"/>
        </w:rPr>
        <w:t>Exhibit B – Form of Compliance Certificate</w:t>
      </w:r>
    </w:p>
    <w:p>
      <w:pPr>
        <w:ind w:right="2239"/>
        <w:spacing w:after="0" w:line="197" w:lineRule="auto"/>
        <w:rPr>
          <w:sz w:val="20"/>
          <w:szCs w:val="20"/>
          <w:color w:val="auto"/>
        </w:rPr>
      </w:pPr>
      <w:r>
        <w:rPr>
          <w:rFonts w:ascii="Arial" w:cs="Arial" w:eastAsia="Arial" w:hAnsi="Arial"/>
          <w:sz w:val="20"/>
          <w:szCs w:val="20"/>
          <w:color w:val="auto"/>
        </w:rPr>
        <w:t xml:space="preserve">Exhibit C-1 – U.S. Tax Certificate (For Non-U.S. Lenders that are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Partnerships for U.S. Federal Income Tax Purposes)</w:t>
      </w:r>
    </w:p>
    <w:p>
      <w:pPr>
        <w:ind w:right="2259"/>
        <w:spacing w:after="0" w:line="197" w:lineRule="auto"/>
        <w:rPr>
          <w:sz w:val="20"/>
          <w:szCs w:val="20"/>
          <w:color w:val="auto"/>
        </w:rPr>
      </w:pPr>
      <w:r>
        <w:rPr>
          <w:rFonts w:ascii="Arial" w:cs="Arial" w:eastAsia="Arial" w:hAnsi="Arial"/>
          <w:sz w:val="20"/>
          <w:szCs w:val="20"/>
          <w:color w:val="auto"/>
        </w:rPr>
        <w:t xml:space="preserve">Exhibit C-2 – U.S. Tax Certificate (For Non-U.S. Participants that </w:t>
      </w:r>
      <w:r>
        <w:rPr>
          <w:rFonts w:ascii="Arial" w:cs="Arial" w:eastAsia="Arial" w:hAnsi="Arial"/>
          <w:sz w:val="20"/>
          <w:szCs w:val="20"/>
          <w:u w:val="single" w:color="auto"/>
          <w:color w:val="auto"/>
        </w:rPr>
        <w:t>are</w:t>
      </w:r>
      <w:r>
        <w:rPr>
          <w:rFonts w:ascii="Arial" w:cs="Arial" w:eastAsia="Arial" w:hAnsi="Arial"/>
          <w:sz w:val="20"/>
          <w:szCs w:val="20"/>
          <w:color w:val="auto"/>
        </w:rPr>
        <w:t xml:space="preserve"> Partnerships for U.S. Federal Income Tax Purposes)</w:t>
      </w:r>
    </w:p>
    <w:p>
      <w:pPr>
        <w:ind w:right="1959"/>
        <w:spacing w:after="0" w:line="197" w:lineRule="auto"/>
        <w:rPr>
          <w:sz w:val="20"/>
          <w:szCs w:val="20"/>
          <w:color w:val="auto"/>
        </w:rPr>
      </w:pPr>
      <w:r>
        <w:rPr>
          <w:rFonts w:ascii="Arial" w:cs="Arial" w:eastAsia="Arial" w:hAnsi="Arial"/>
          <w:sz w:val="20"/>
          <w:szCs w:val="20"/>
          <w:color w:val="auto"/>
        </w:rPr>
        <w:t xml:space="preserve">Exhibit C-3 – U.S. Tax Certificate (For Non-U.S. Participants that are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Partnerships for U.S. Federal Income Tax Purposes)</w:t>
      </w:r>
    </w:p>
    <w:p>
      <w:pPr>
        <w:ind w:right="1899"/>
        <w:spacing w:after="0" w:line="197" w:lineRule="auto"/>
        <w:rPr>
          <w:sz w:val="20"/>
          <w:szCs w:val="20"/>
          <w:color w:val="auto"/>
        </w:rPr>
      </w:pPr>
      <w:r>
        <w:rPr>
          <w:rFonts w:ascii="Arial" w:cs="Arial" w:eastAsia="Arial" w:hAnsi="Arial"/>
          <w:sz w:val="20"/>
          <w:szCs w:val="20"/>
          <w:color w:val="auto"/>
        </w:rPr>
        <w:t xml:space="preserve">Exhibit C-4 – U.S. Tax Certificate (For Non-U.S. Lenders that </w:t>
      </w:r>
      <w:r>
        <w:rPr>
          <w:rFonts w:ascii="Arial" w:cs="Arial" w:eastAsia="Arial" w:hAnsi="Arial"/>
          <w:sz w:val="20"/>
          <w:szCs w:val="20"/>
          <w:u w:val="single" w:color="auto"/>
          <w:color w:val="auto"/>
        </w:rPr>
        <w:t>are</w:t>
      </w:r>
      <w:r>
        <w:rPr>
          <w:rFonts w:ascii="Arial" w:cs="Arial" w:eastAsia="Arial" w:hAnsi="Arial"/>
          <w:sz w:val="20"/>
          <w:szCs w:val="20"/>
          <w:color w:val="auto"/>
        </w:rPr>
        <w:t xml:space="preserve"> Partnerships for U.S. Federal Income Tax Purposes)</w:t>
      </w:r>
    </w:p>
    <w:p>
      <w:pPr>
        <w:spacing w:after="0" w:line="197" w:lineRule="auto"/>
        <w:rPr>
          <w:sz w:val="20"/>
          <w:szCs w:val="20"/>
          <w:color w:val="auto"/>
        </w:rPr>
      </w:pPr>
      <w:r>
        <w:rPr>
          <w:rFonts w:ascii="Arial" w:cs="Arial" w:eastAsia="Arial" w:hAnsi="Arial"/>
          <w:sz w:val="20"/>
          <w:szCs w:val="20"/>
          <w:color w:val="auto"/>
        </w:rPr>
        <w:t>Exhibit D-1 – Form of Revolving Loan Note</w:t>
      </w:r>
    </w:p>
    <w:p>
      <w:pPr>
        <w:spacing w:after="0" w:line="197" w:lineRule="auto"/>
        <w:rPr>
          <w:sz w:val="20"/>
          <w:szCs w:val="20"/>
          <w:color w:val="auto"/>
        </w:rPr>
      </w:pPr>
      <w:r>
        <w:rPr>
          <w:rFonts w:ascii="Arial" w:cs="Arial" w:eastAsia="Arial" w:hAnsi="Arial"/>
          <w:sz w:val="20"/>
          <w:szCs w:val="20"/>
          <w:color w:val="auto"/>
        </w:rPr>
        <w:t>Exhibit D-2 – Form of Term Loan Note</w:t>
      </w:r>
    </w:p>
    <w:p>
      <w:pPr>
        <w:spacing w:after="0" w:line="198" w:lineRule="auto"/>
        <w:rPr>
          <w:sz w:val="20"/>
          <w:szCs w:val="20"/>
          <w:color w:val="auto"/>
        </w:rPr>
      </w:pPr>
      <w:r>
        <w:rPr>
          <w:rFonts w:ascii="Arial" w:cs="Arial" w:eastAsia="Arial" w:hAnsi="Arial"/>
          <w:sz w:val="20"/>
          <w:szCs w:val="20"/>
          <w:color w:val="auto"/>
        </w:rPr>
        <w:t>Exhibit D-3 – Form of Swingline Loan Note</w:t>
      </w:r>
    </w:p>
    <w:p>
      <w:pPr>
        <w:spacing w:after="0"/>
        <w:rPr>
          <w:sz w:val="20"/>
          <w:szCs w:val="20"/>
          <w:color w:val="auto"/>
        </w:rPr>
      </w:pPr>
      <w:r>
        <w:rPr>
          <w:rFonts w:ascii="Arial" w:cs="Arial" w:eastAsia="Arial" w:hAnsi="Arial"/>
          <w:sz w:val="20"/>
          <w:szCs w:val="20"/>
          <w:color w:val="auto"/>
        </w:rPr>
        <w:t>Exhibit E – Form of Borrowing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NAI-1523373604v</w:t>
      </w:r>
      <w:r>
        <w:rPr>
          <w:rFonts w:ascii="Arial" w:cs="Arial" w:eastAsia="Arial" w:hAnsi="Arial"/>
          <w:sz w:val="16"/>
          <w:szCs w:val="16"/>
          <w:color w:val="FF0000"/>
          <w:strike w:val="1"/>
        </w:rPr>
        <w:t>1</w:t>
      </w:r>
      <w:r>
        <w:rPr>
          <w:rFonts w:ascii="Arial" w:cs="Arial" w:eastAsia="Arial" w:hAnsi="Arial"/>
          <w:sz w:val="16"/>
          <w:szCs w:val="16"/>
          <w:u w:val="single" w:color="auto"/>
          <w:color w:val="0000FF"/>
        </w:rPr>
        <w:t>6</w:t>
      </w:r>
    </w:p>
    <w:p>
      <w:pPr>
        <w:sectPr>
          <w:pgSz w:w="11900" w:h="16838" w:orient="portrait"/>
          <w:cols w:equalWidth="0" w:num="1">
            <w:col w:w="10139"/>
          </w:cols>
          <w:pgMar w:left="320" w:top="1380" w:right="1440" w:bottom="1440" w:gutter="0" w:footer="0" w:header="0"/>
        </w:sectPr>
      </w:pPr>
    </w:p>
    <w:bookmarkStart w:id="70" w:name="page71"/>
    <w:bookmarkEnd w:id="70"/>
    <w:p>
      <w:pPr>
        <w:ind w:right="360" w:firstLine="648"/>
        <w:spacing w:after="0" w:line="202" w:lineRule="auto"/>
        <w:rPr>
          <w:sz w:val="20"/>
          <w:szCs w:val="20"/>
          <w:color w:val="auto"/>
        </w:rPr>
      </w:pPr>
      <w:r>
        <w:rPr>
          <w:rFonts w:ascii="Arial" w:cs="Arial" w:eastAsia="Arial" w:hAnsi="Arial"/>
          <w:sz w:val="20"/>
          <w:szCs w:val="20"/>
          <w:color w:val="auto"/>
        </w:rPr>
        <w:t>This REVOLVING CREDIT AND TERM LOAN AGREEMENT is entered into as of April 1, 2020 among THE COOPER COMPANIES,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COOPERVISION INTERNATIONAL </w:t>
      </w:r>
      <w:r>
        <w:rPr>
          <w:rFonts w:ascii="Arial" w:cs="Arial" w:eastAsia="Arial" w:hAnsi="Arial"/>
          <w:sz w:val="20"/>
          <w:szCs w:val="20"/>
          <w:color w:val="FF0000"/>
          <w:strike w:val="1"/>
        </w:rPr>
        <w:t>HOLDING COMPANY, LP,</w:t>
      </w:r>
      <w:r>
        <w:rPr>
          <w:rFonts w:ascii="Arial" w:cs="Arial" w:eastAsia="Arial" w:hAnsi="Arial"/>
          <w:sz w:val="20"/>
          <w:szCs w:val="20"/>
          <w:color w:val="auto"/>
        </w:rPr>
        <w:t xml:space="preserve"> </w:t>
      </w:r>
      <w:r>
        <w:rPr>
          <w:rFonts w:ascii="Arial" w:cs="Arial" w:eastAsia="Arial" w:hAnsi="Arial"/>
          <w:sz w:val="20"/>
          <w:szCs w:val="20"/>
          <w:color w:val="FF0000"/>
          <w:strike w:val="1"/>
        </w:rPr>
        <w:t>a</w:t>
      </w:r>
      <w:r>
        <w:rPr>
          <w:rFonts w:ascii="Arial" w:cs="Arial" w:eastAsia="Arial" w:hAnsi="Arial"/>
          <w:sz w:val="20"/>
          <w:szCs w:val="20"/>
          <w:u w:val="single" w:color="auto"/>
          <w:color w:val="0000FF"/>
        </w:rPr>
        <w:t>LIMITED, a private</w:t>
      </w:r>
      <w:r>
        <w:rPr>
          <w:rFonts w:ascii="Arial" w:cs="Arial" w:eastAsia="Arial" w:hAnsi="Arial"/>
          <w:sz w:val="20"/>
          <w:szCs w:val="20"/>
          <w:color w:val="FF0000"/>
        </w:rPr>
        <w:t xml:space="preserve"> </w:t>
      </w:r>
      <w:r>
        <w:rPr>
          <w:rFonts w:ascii="Arial" w:cs="Arial" w:eastAsia="Arial" w:hAnsi="Arial"/>
          <w:sz w:val="20"/>
          <w:szCs w:val="20"/>
          <w:color w:val="000000"/>
        </w:rPr>
        <w:t>limited</w:t>
      </w:r>
      <w:r>
        <w:rPr>
          <w:rFonts w:ascii="Arial" w:cs="Arial" w:eastAsia="Arial" w:hAnsi="Arial"/>
          <w:sz w:val="20"/>
          <w:szCs w:val="20"/>
          <w:color w:val="FF0000"/>
        </w:rPr>
        <w:t xml:space="preserve"> </w:t>
      </w:r>
      <w:r>
        <w:rPr>
          <w:rFonts w:ascii="Arial" w:cs="Arial" w:eastAsia="Arial" w:hAnsi="Arial"/>
          <w:sz w:val="20"/>
          <w:szCs w:val="20"/>
          <w:color w:val="FF0000"/>
          <w:strike w:val="1"/>
        </w:rPr>
        <w:t>partnership</w:t>
      </w:r>
      <w:r>
        <w:rPr>
          <w:rFonts w:ascii="Arial" w:cs="Arial" w:eastAsia="Arial" w:hAnsi="Arial"/>
          <w:sz w:val="20"/>
          <w:szCs w:val="20"/>
          <w:u w:val="single" w:color="auto"/>
          <w:color w:val="0000FF"/>
        </w:rPr>
        <w:t>company</w:t>
      </w:r>
      <w:r>
        <w:rPr>
          <w:rFonts w:ascii="Arial" w:cs="Arial" w:eastAsia="Arial" w:hAnsi="Arial"/>
          <w:sz w:val="20"/>
          <w:szCs w:val="20"/>
          <w:color w:val="FF0000"/>
        </w:rPr>
        <w:t xml:space="preserve"> </w:t>
      </w:r>
      <w:r>
        <w:rPr>
          <w:rFonts w:ascii="Arial" w:cs="Arial" w:eastAsia="Arial" w:hAnsi="Arial"/>
          <w:sz w:val="20"/>
          <w:szCs w:val="20"/>
          <w:color w:val="000000"/>
        </w:rPr>
        <w:t>registered in England and Wales</w:t>
      </w:r>
      <w:r>
        <w:rPr>
          <w:rFonts w:ascii="Arial" w:cs="Arial" w:eastAsia="Arial" w:hAnsi="Arial"/>
          <w:sz w:val="20"/>
          <w:szCs w:val="20"/>
          <w:color w:val="FF0000"/>
        </w:rPr>
        <w:t xml:space="preserve"> </w:t>
      </w:r>
      <w:r>
        <w:rPr>
          <w:rFonts w:ascii="Arial" w:cs="Arial" w:eastAsia="Arial" w:hAnsi="Arial"/>
          <w:sz w:val="20"/>
          <w:szCs w:val="20"/>
          <w:color w:val="FF0000"/>
          <w:strike w:val="1"/>
        </w:rPr>
        <w:t>under No. LP3698 and duly registered under the</w:t>
      </w:r>
      <w:r>
        <w:rPr>
          <w:rFonts w:ascii="Arial" w:cs="Arial" w:eastAsia="Arial" w:hAnsi="Arial"/>
          <w:sz w:val="20"/>
          <w:szCs w:val="20"/>
          <w:color w:val="FF0000"/>
        </w:rPr>
        <w:t xml:space="preserve"> </w:t>
      </w:r>
      <w:r>
        <w:rPr>
          <w:rFonts w:ascii="Arial" w:cs="Arial" w:eastAsia="Arial" w:hAnsi="Arial"/>
          <w:sz w:val="20"/>
          <w:szCs w:val="20"/>
          <w:color w:val="FF0000"/>
          <w:strike w:val="1"/>
        </w:rPr>
        <w:t>Companies Act of Barbados (“</w:t>
      </w:r>
      <w:r>
        <w:rPr>
          <w:rFonts w:ascii="Arial" w:cs="Arial" w:eastAsia="Arial" w:hAnsi="Arial"/>
          <w:sz w:val="20"/>
          <w:szCs w:val="20"/>
          <w:b w:val="1"/>
          <w:bCs w:val="1"/>
          <w:i w:val="1"/>
          <w:iCs w:val="1"/>
          <w:color w:val="FF0000"/>
          <w:strike w:val="1"/>
        </w:rPr>
        <w:t>CooperVision International</w:t>
      </w:r>
      <w:r>
        <w:rPr>
          <w:rFonts w:ascii="Arial" w:cs="Arial" w:eastAsia="Arial" w:hAnsi="Arial"/>
          <w:sz w:val="20"/>
          <w:szCs w:val="20"/>
          <w:u w:val="single" w:color="auto"/>
          <w:color w:val="0000FF"/>
        </w:rPr>
        <w:t>with company registration number 12210296 (“</w:t>
      </w:r>
      <w:r>
        <w:rPr>
          <w:rFonts w:ascii="Arial" w:cs="Arial" w:eastAsia="Arial" w:hAnsi="Arial"/>
          <w:sz w:val="20"/>
          <w:szCs w:val="20"/>
          <w:b w:val="1"/>
          <w:bCs w:val="1"/>
          <w:i w:val="1"/>
          <w:iCs w:val="1"/>
          <w:u w:val="single" w:color="auto"/>
          <w:color w:val="0000FF"/>
        </w:rPr>
        <w:t>Cooper UK</w:t>
      </w:r>
      <w:r>
        <w:rPr>
          <w:rFonts w:ascii="Arial" w:cs="Arial" w:eastAsia="Arial" w:hAnsi="Arial"/>
          <w:sz w:val="20"/>
          <w:szCs w:val="20"/>
          <w:color w:val="000000"/>
        </w:rPr>
        <w:t>”),</w:t>
      </w:r>
      <w:r>
        <w:rPr>
          <w:rFonts w:ascii="Arial" w:cs="Arial" w:eastAsia="Arial" w:hAnsi="Arial"/>
          <w:sz w:val="20"/>
          <w:szCs w:val="20"/>
          <w:color w:val="FF0000"/>
        </w:rPr>
        <w:t xml:space="preserve"> </w:t>
      </w:r>
      <w:r>
        <w:rPr>
          <w:rFonts w:ascii="Arial" w:cs="Arial" w:eastAsia="Arial" w:hAnsi="Arial"/>
          <w:sz w:val="20"/>
          <w:szCs w:val="20"/>
          <w:color w:val="000000"/>
        </w:rPr>
        <w:t xml:space="preserve">COOPERSURGICAL </w:t>
      </w:r>
      <w:r>
        <w:rPr>
          <w:rFonts w:ascii="Arial" w:cs="Arial" w:eastAsia="Arial" w:hAnsi="Arial"/>
          <w:sz w:val="20"/>
          <w:szCs w:val="20"/>
          <w:color w:val="FF0000"/>
          <w:strike w:val="1"/>
        </w:rPr>
        <w:t>NETHERLANDS B.V., a Netherlands private company with limited liability (</w:t>
      </w:r>
      <w:r>
        <w:rPr>
          <w:rFonts w:ascii="Arial" w:cs="Arial" w:eastAsia="Arial" w:hAnsi="Arial"/>
          <w:sz w:val="20"/>
          <w:szCs w:val="20"/>
          <w:i w:val="1"/>
          <w:iCs w:val="1"/>
          <w:color w:val="FF0000"/>
          <w:strike w:val="1"/>
        </w:rPr>
        <w:t>besloten vennootschap met beperkte</w:t>
      </w:r>
      <w:r>
        <w:rPr>
          <w:rFonts w:ascii="Arial" w:cs="Arial" w:eastAsia="Arial" w:hAnsi="Arial"/>
          <w:sz w:val="20"/>
          <w:szCs w:val="20"/>
          <w:color w:val="000000"/>
        </w:rPr>
        <w:t xml:space="preserve"> </w:t>
      </w:r>
      <w:r>
        <w:rPr>
          <w:rFonts w:ascii="Arial" w:cs="Arial" w:eastAsia="Arial" w:hAnsi="Arial"/>
          <w:sz w:val="20"/>
          <w:szCs w:val="20"/>
          <w:i w:val="1"/>
          <w:iCs w:val="1"/>
          <w:color w:val="FF0000"/>
          <w:strike w:val="1"/>
        </w:rPr>
        <w:t>aansprakelijkheid</w:t>
      </w:r>
      <w:r>
        <w:rPr>
          <w:rFonts w:ascii="Arial" w:cs="Arial" w:eastAsia="Arial" w:hAnsi="Arial"/>
          <w:sz w:val="20"/>
          <w:szCs w:val="20"/>
          <w:color w:val="FF0000"/>
          <w:strike w:val="1"/>
        </w:rPr>
        <w:t>) (“</w:t>
      </w:r>
      <w:r>
        <w:rPr>
          <w:rFonts w:ascii="Arial" w:cs="Arial" w:eastAsia="Arial" w:hAnsi="Arial"/>
          <w:sz w:val="20"/>
          <w:szCs w:val="20"/>
          <w:b w:val="1"/>
          <w:bCs w:val="1"/>
          <w:i w:val="1"/>
          <w:iCs w:val="1"/>
          <w:color w:val="FF0000"/>
          <w:strike w:val="1"/>
        </w:rPr>
        <w:t>Cooper Netherlands</w:t>
      </w:r>
      <w:r>
        <w:rPr>
          <w:rFonts w:ascii="Arial" w:cs="Arial" w:eastAsia="Arial" w:hAnsi="Arial"/>
          <w:sz w:val="20"/>
          <w:szCs w:val="20"/>
          <w:color w:val="FF0000"/>
          <w:strike w:val="1"/>
        </w:rPr>
        <w:t>”), and COOPERVISION HOLDING KFT., a Hungarian limited liability company (</w:t>
      </w:r>
      <w:r>
        <w:rPr>
          <w:rFonts w:ascii="Arial" w:cs="Arial" w:eastAsia="Arial" w:hAnsi="Arial"/>
          <w:sz w:val="20"/>
          <w:szCs w:val="20"/>
          <w:i w:val="1"/>
          <w:iCs w:val="1"/>
          <w:color w:val="FF0000"/>
          <w:strike w:val="1"/>
        </w:rPr>
        <w:t>korlátolt felelősségű társaság</w:t>
      </w:r>
      <w:r>
        <w:rPr>
          <w:rFonts w:ascii="Arial" w:cs="Arial" w:eastAsia="Arial" w:hAnsi="Arial"/>
          <w:sz w:val="20"/>
          <w:szCs w:val="20"/>
          <w:color w:val="FF0000"/>
          <w:strike w:val="1"/>
        </w:rPr>
        <w:t>) (“</w:t>
      </w:r>
      <w:r>
        <w:rPr>
          <w:rFonts w:ascii="Arial" w:cs="Arial" w:eastAsia="Arial" w:hAnsi="Arial"/>
          <w:sz w:val="20"/>
          <w:szCs w:val="20"/>
          <w:b w:val="1"/>
          <w:bCs w:val="1"/>
          <w:i w:val="1"/>
          <w:iCs w:val="1"/>
          <w:color w:val="FF0000"/>
          <w:strike w:val="1"/>
        </w:rPr>
        <w:t>Cooper Kft</w:t>
      </w:r>
      <w:r>
        <w:rPr>
          <w:rFonts w:ascii="Arial" w:cs="Arial" w:eastAsia="Arial" w:hAnsi="Arial"/>
          <w:sz w:val="20"/>
          <w:szCs w:val="20"/>
          <w:color w:val="FF0000"/>
          <w:strike w:val="1"/>
        </w:rPr>
        <w:t>”)</w:t>
      </w:r>
      <w:r>
        <w:rPr>
          <w:rFonts w:ascii="Arial" w:cs="Arial" w:eastAsia="Arial" w:hAnsi="Arial"/>
          <w:sz w:val="20"/>
          <w:szCs w:val="20"/>
          <w:u w:val="single" w:color="auto"/>
          <w:color w:val="0000FF"/>
          <w:strike w:val="1"/>
        </w:rPr>
        <w:t>HOLDINGS LIMITED, a private limited company registered in England and Wales with company</w:t>
      </w:r>
      <w:r>
        <w:rPr>
          <w:rFonts w:ascii="Arial" w:cs="Arial" w:eastAsia="Arial" w:hAnsi="Arial"/>
          <w:sz w:val="20"/>
          <w:szCs w:val="20"/>
          <w:i w:val="1"/>
          <w:iCs w:val="1"/>
          <w:color w:val="FF0000"/>
          <w:strike w:val="1"/>
        </w:rPr>
        <w:t xml:space="preserve"> </w:t>
      </w:r>
      <w:r>
        <w:rPr>
          <w:rFonts w:ascii="Arial" w:cs="Arial" w:eastAsia="Arial" w:hAnsi="Arial"/>
          <w:sz w:val="20"/>
          <w:szCs w:val="20"/>
          <w:u w:val="single" w:color="auto"/>
          <w:color w:val="0000FF"/>
          <w:strike w:val="1"/>
        </w:rPr>
        <w:t>registration number 09877160 (“</w:t>
      </w:r>
      <w:r>
        <w:rPr>
          <w:rFonts w:ascii="Arial" w:cs="Arial" w:eastAsia="Arial" w:hAnsi="Arial"/>
          <w:sz w:val="20"/>
          <w:szCs w:val="20"/>
          <w:b w:val="1"/>
          <w:bCs w:val="1"/>
          <w:i w:val="1"/>
          <w:iCs w:val="1"/>
          <w:u w:val="single" w:color="auto"/>
          <w:color w:val="0000FF"/>
          <w:strike w:val="1"/>
        </w:rPr>
        <w:t>CooperSurgical UK</w:t>
      </w:r>
      <w:r>
        <w:rPr>
          <w:rFonts w:ascii="Arial" w:cs="Arial" w:eastAsia="Arial" w:hAnsi="Arial"/>
          <w:sz w:val="20"/>
          <w:szCs w:val="20"/>
          <w:u w:val="single" w:color="auto"/>
          <w:color w:val="0000FF"/>
          <w:strike w:val="1"/>
        </w:rPr>
        <w:t>”)</w:t>
      </w:r>
      <w:r>
        <w:rPr>
          <w:rFonts w:ascii="Arial" w:cs="Arial" w:eastAsia="Arial" w:hAnsi="Arial"/>
          <w:sz w:val="20"/>
          <w:szCs w:val="20"/>
          <w:color w:val="000000"/>
          <w:strike w:val="1"/>
        </w:rPr>
        <w:t>, the Lenders from time to time party hereto, each of PNC BANK, NATIONAL</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ASSOCIATION, and TD BANK, N.A., as a Syndication Agent, each of BANK OF THE WEST, CITIZENS BANK, N.A., MIZUHO BANK, LTD., THE BANK OF NOVA SCOTIA, U.S. BANK NATIONAL ASSOCIATION and WELLS FARGO BANK, NATIONAL ASSOCIATION, as a Documentation Agent, and KEYBANK NATIONAL ASSOCIATION, as Administrative Agent (each,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-623570</wp:posOffset>
            </wp:positionV>
            <wp:extent cx="311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agree as follows:</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w:t>
      </w:r>
    </w:p>
    <w:p>
      <w:pPr>
        <w:spacing w:after="0" w:line="148"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DEFINITIONS</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62" w:lineRule="exact"/>
        <w:rPr>
          <w:sz w:val="20"/>
          <w:szCs w:val="20"/>
          <w:color w:val="auto"/>
        </w:rPr>
      </w:pPr>
    </w:p>
    <w:p>
      <w:pPr>
        <w:ind w:right="2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42" w:lineRule="exact"/>
        <w:rPr>
          <w:sz w:val="20"/>
          <w:szCs w:val="20"/>
          <w:color w:val="auto"/>
        </w:rPr>
      </w:pPr>
    </w:p>
    <w:p>
      <w:pPr>
        <w:ind w:right="20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Acquisition</w:t>
      </w:r>
      <w:r>
        <w:rPr>
          <w:rFonts w:ascii="Arial" w:cs="Arial" w:eastAsia="Arial" w:hAnsi="Arial"/>
          <w:sz w:val="20"/>
          <w:szCs w:val="20"/>
          <w:color w:val="auto"/>
        </w:rPr>
        <w:t>” means any transaction or series of related transactions for the purpose of or resulting, directly or indirectly, in (i) the acquisition of all or substantially all of the assets of any Person, or any business line or unit or division of any Person, or (ii) the acquisition or ownership of in excess of 50% of the Equity Interests of any Person, in each case whether by purchase, merger, consolidation, amalgamation or any other combination with such Person.</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Commitment Lender</w:t>
      </w:r>
      <w:r>
        <w:rPr>
          <w:rFonts w:ascii="Arial" w:cs="Arial" w:eastAsia="Arial" w:hAnsi="Arial"/>
          <w:sz w:val="20"/>
          <w:szCs w:val="20"/>
          <w:color w:val="auto"/>
        </w:rPr>
        <w:t>” has the meaning assigned to such term in Section 2.22(d).</w:t>
      </w:r>
    </w:p>
    <w:p>
      <w:pPr>
        <w:spacing w:after="0" w:line="162" w:lineRule="exact"/>
        <w:rPr>
          <w:sz w:val="20"/>
          <w:szCs w:val="20"/>
          <w:color w:val="auto"/>
        </w:rPr>
      </w:pPr>
    </w:p>
    <w:p>
      <w:pPr>
        <w:ind w:right="16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Credit Extension Amendment</w:t>
      </w:r>
      <w:r>
        <w:rPr>
          <w:rFonts w:ascii="Arial" w:cs="Arial" w:eastAsia="Arial" w:hAnsi="Arial"/>
          <w:sz w:val="20"/>
          <w:szCs w:val="20"/>
          <w:color w:val="auto"/>
        </w:rPr>
        <w:t>” means an amendment to this Agreement providing for any Incremental Revolving Commitments and/or Incremental Term Loans which shall be consistent with the applicable provisions of this Agreement relating to Incremental Revolving Commitments and/or Incremental Term Loans and otherwise satisfactory to the Administrative Agent, the Company and the Revolving Borrowers or the Term Loan Borrower, as applicable.</w:t>
      </w:r>
    </w:p>
    <w:p>
      <w:pPr>
        <w:spacing w:after="0" w:line="142" w:lineRule="exact"/>
        <w:rPr>
          <w:sz w:val="20"/>
          <w:szCs w:val="20"/>
          <w:color w:val="auto"/>
        </w:rPr>
      </w:pPr>
    </w:p>
    <w:p>
      <w:pPr>
        <w:ind w:right="6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Revolving Borrower</w:t>
      </w:r>
      <w:r>
        <w:rPr>
          <w:rFonts w:ascii="Arial" w:cs="Arial" w:eastAsia="Arial" w:hAnsi="Arial"/>
          <w:sz w:val="20"/>
          <w:szCs w:val="20"/>
          <w:color w:val="auto"/>
        </w:rPr>
        <w:t>” means any Revolving Borrower that becomes a Borrower hereunder after the Closing Date pursuant to Section 2.21 hereof.</w:t>
      </w:r>
    </w:p>
    <w:p>
      <w:pPr>
        <w:spacing w:after="0" w:line="128" w:lineRule="exact"/>
        <w:rPr>
          <w:sz w:val="20"/>
          <w:szCs w:val="20"/>
          <w:color w:val="auto"/>
        </w:rPr>
      </w:pPr>
    </w:p>
    <w:p>
      <w:pPr>
        <w:ind w:right="20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Additional Revolving Borrower Joinder Agreement</w:t>
      </w:r>
      <w:r>
        <w:rPr>
          <w:rFonts w:ascii="Arial" w:cs="Arial" w:eastAsia="Arial" w:hAnsi="Arial"/>
          <w:sz w:val="20"/>
          <w:szCs w:val="20"/>
          <w:color w:val="auto"/>
        </w:rPr>
        <w:t>” means a joinder to this Agreement executed pursuant to Section 2.21 hereof in a form reasonably acceptable to the Administrative Agent and executed by the Administrative Agent, the Company and the Additional Revolving Borrower(s) becoming a party to this Agreement.</w:t>
      </w:r>
    </w:p>
    <w:p>
      <w:pPr>
        <w:spacing w:after="0" w:line="143"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Foreign Currency Rate</w:t>
      </w:r>
      <w:r>
        <w:rPr>
          <w:rFonts w:ascii="Arial" w:cs="Arial" w:eastAsia="Arial" w:hAnsi="Arial"/>
          <w:sz w:val="18"/>
          <w:szCs w:val="18"/>
          <w:color w:val="auto"/>
        </w:rPr>
        <w:t>” means (a) with respect to any Foreign Currency Loan denominated in Canadian Dollars, the CDOR Rate, and (b) with respect to each Interest Period for any other Foreign Currency Loan, (i) the rate per annum equal to the offered rate appearing on the applicable electronic page of Reuters (or on the appropriate page of any successor to or substitute for such service, or, if such rate is not available, on the appropriate page of any generally recognized financial information service, as selected by the Administrative Agent from time to time) that displays an average ICE Benchmark Administration Limited (or any successor thereto) Interest Settlement Rate at approximately 11:00 A.M. (London time) two Business Days prior to the commencement of such Interest Period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NAI-1523373604v</w:t>
      </w:r>
      <w:r>
        <w:rPr>
          <w:rFonts w:ascii="Arial" w:cs="Arial" w:eastAsia="Arial" w:hAnsi="Arial"/>
          <w:sz w:val="16"/>
          <w:szCs w:val="16"/>
          <w:color w:val="FF0000"/>
          <w:strike w:val="1"/>
        </w:rPr>
        <w:t>1</w:t>
      </w:r>
      <w:r>
        <w:rPr>
          <w:rFonts w:ascii="Arial" w:cs="Arial" w:eastAsia="Arial" w:hAnsi="Arial"/>
          <w:sz w:val="16"/>
          <w:szCs w:val="16"/>
          <w:u w:val="single" w:color="auto"/>
          <w:color w:val="0000FF"/>
        </w:rPr>
        <w:t>6</w:t>
      </w:r>
    </w:p>
    <w:p>
      <w:pPr>
        <w:sectPr>
          <w:pgSz w:w="11900" w:h="16838" w:orient="portrait"/>
          <w:cols w:equalWidth="0" w:num="1">
            <w:col w:w="11240"/>
          </w:cols>
          <w:pgMar w:left="320" w:top="1405" w:right="339" w:bottom="1440" w:gutter="0" w:footer="0" w:header="0"/>
        </w:sectPr>
      </w:pPr>
    </w:p>
    <w:bookmarkStart w:id="71" w:name="page72"/>
    <w:bookmarkEnd w:id="71"/>
    <w:p>
      <w:pPr>
        <w:spacing w:after="0" w:line="213" w:lineRule="auto"/>
        <w:rPr>
          <w:sz w:val="20"/>
          <w:szCs w:val="20"/>
          <w:color w:val="auto"/>
        </w:rPr>
      </w:pPr>
      <w:r>
        <w:rPr>
          <w:rFonts w:ascii="Arial" w:cs="Arial" w:eastAsia="Arial" w:hAnsi="Arial"/>
          <w:sz w:val="19"/>
          <w:szCs w:val="19"/>
          <w:color w:val="auto"/>
        </w:rPr>
        <w:t xml:space="preserve">deposits in the applicable Designated Foreign Currency (or with respect to Foreign Currency Loans denominated in Pounds, on the day of the commencement of such Interest Period) with a maturity comparable to such Interest Period, divided by (ii) a percentage equal to 100% minus the then stated maximum rate of all reserve requirements (including, without limitation, any marginal, emergency, supplemental, special or other reserves and without benefit of credits for proration, exceptions or offsets that may be available from time to time) applicable to any member bank of the Federal Reserve System in respect of Eurocurrency liabilities as defined in Regulation D (or any successor category of liabilities under Regulation 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in the event that the rate referred to in clause (i) above is not available at any such time for any reason, then the rate referred to in clause (i) shall instead be the interest rate per annum, as determined by the Administrative Agent, to be the average of the rates per annum at which deposits in an amount equal to the amount of such Foreign Currency Loan in the applicable Designated Foreign Currency are offered to major banks in the London interbank market at approximately 11:00 A.M. (London time), two Business Days prior to the commencement of such Interest Period, for contracts that would be entered into at the commencement of such Interest Period for the same duration as such Interest Period, and (ii) in no event will the Adjusted Foreign Currency Rate be less than 0%.</w:t>
      </w:r>
    </w:p>
    <w:p>
      <w:pPr>
        <w:spacing w:after="0" w:line="144" w:lineRule="exact"/>
        <w:rPr>
          <w:sz w:val="20"/>
          <w:szCs w:val="20"/>
          <w:color w:val="auto"/>
        </w:rPr>
      </w:pPr>
    </w:p>
    <w:p>
      <w:pPr>
        <w:ind w:right="20" w:firstLine="648"/>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Adjusted LIBO Rate</w:t>
      </w:r>
      <w:r>
        <w:rPr>
          <w:rFonts w:ascii="Arial" w:cs="Arial" w:eastAsia="Arial" w:hAnsi="Arial"/>
          <w:sz w:val="18"/>
          <w:szCs w:val="18"/>
          <w:color w:val="auto"/>
        </w:rPr>
        <w:t xml:space="preserve">” means with respect to each Interest Period for a Eurodollar Loan, (i) the </w:t>
      </w:r>
      <w:r>
        <w:rPr>
          <w:rFonts w:ascii="Arial" w:cs="Arial" w:eastAsia="Arial" w:hAnsi="Arial"/>
          <w:sz w:val="18"/>
          <w:szCs w:val="18"/>
          <w:color w:val="008000"/>
          <w:strike w:val="1"/>
        </w:rPr>
        <w:t>rate per annum equal to the</w:t>
      </w:r>
      <w:r>
        <w:rPr>
          <w:rFonts w:ascii="Arial" w:cs="Arial" w:eastAsia="Arial" w:hAnsi="Arial"/>
          <w:sz w:val="18"/>
          <w:szCs w:val="18"/>
          <w:color w:val="auto"/>
        </w:rPr>
        <w:t xml:space="preserve"> offered rate </w:t>
      </w:r>
      <w:r>
        <w:rPr>
          <w:rFonts w:ascii="Arial" w:cs="Arial" w:eastAsia="Arial" w:hAnsi="Arial"/>
          <w:sz w:val="18"/>
          <w:szCs w:val="18"/>
          <w:color w:val="FF0000"/>
          <w:strike w:val="1"/>
        </w:rPr>
        <w:t>appearing on Reuters Screen LIBOR01 Page (or on the appropriate page of any successor to or substitute for such service, or, if such rate</w:t>
      </w:r>
      <w:r>
        <w:rPr>
          <w:rFonts w:ascii="Arial" w:cs="Arial" w:eastAsia="Arial" w:hAnsi="Arial"/>
          <w:sz w:val="18"/>
          <w:szCs w:val="18"/>
          <w:color w:val="auto"/>
        </w:rPr>
        <w:t xml:space="preserve"> </w:t>
      </w:r>
      <w:r>
        <w:rPr>
          <w:rFonts w:ascii="Arial" w:cs="Arial" w:eastAsia="Arial" w:hAnsi="Arial"/>
          <w:sz w:val="18"/>
          <w:szCs w:val="18"/>
          <w:color w:val="FF0000"/>
          <w:strike w:val="1"/>
        </w:rPr>
        <w:t>is not available, on the appropriate page of any generally recognized financial information service,</w:t>
      </w:r>
      <w:r>
        <w:rPr>
          <w:rFonts w:ascii="Arial" w:cs="Arial" w:eastAsia="Arial" w:hAnsi="Arial"/>
          <w:sz w:val="18"/>
          <w:szCs w:val="18"/>
          <w:color w:val="FF0000"/>
        </w:rPr>
        <w:t xml:space="preserve"> </w:t>
      </w:r>
      <w:r>
        <w:rPr>
          <w:rFonts w:ascii="Arial" w:cs="Arial" w:eastAsia="Arial" w:hAnsi="Arial"/>
          <w:sz w:val="18"/>
          <w:szCs w:val="18"/>
          <w:color w:val="008000"/>
        </w:rPr>
        <w:t>as selected by the Administrative Agent</w:t>
      </w:r>
      <w:r>
        <w:rPr>
          <w:rFonts w:ascii="Arial" w:cs="Arial" w:eastAsia="Arial" w:hAnsi="Arial"/>
          <w:sz w:val="18"/>
          <w:szCs w:val="18"/>
          <w:color w:val="FF0000"/>
        </w:rPr>
        <w:t xml:space="preserve"> </w:t>
      </w:r>
      <w:r>
        <w:rPr>
          <w:rFonts w:ascii="Arial" w:cs="Arial" w:eastAsia="Arial" w:hAnsi="Arial"/>
          <w:sz w:val="18"/>
          <w:szCs w:val="18"/>
          <w:color w:val="FF0000"/>
          <w:strike w:val="1"/>
        </w:rPr>
        <w:t>from time to time) that displays an average</w:t>
      </w:r>
      <w:r>
        <w:rPr>
          <w:rFonts w:ascii="Arial" w:cs="Arial" w:eastAsia="Arial" w:hAnsi="Arial"/>
          <w:sz w:val="18"/>
          <w:szCs w:val="18"/>
          <w:u w:val="single" w:color="auto"/>
          <w:color w:val="0000FF"/>
        </w:rPr>
        <w:t>for Dollar deposits for a term coextensive with the designated Interest Period that the</w:t>
      </w:r>
      <w:r>
        <w:rPr>
          <w:rFonts w:ascii="Arial" w:cs="Arial" w:eastAsia="Arial" w:hAnsi="Arial"/>
          <w:sz w:val="18"/>
          <w:szCs w:val="18"/>
          <w:color w:val="FF0000"/>
        </w:rPr>
        <w:t xml:space="preserve"> </w:t>
      </w:r>
      <w:r>
        <w:rPr>
          <w:rFonts w:ascii="Arial" w:cs="Arial" w:eastAsia="Arial" w:hAnsi="Arial"/>
          <w:sz w:val="18"/>
          <w:szCs w:val="18"/>
          <w:color w:val="000000"/>
        </w:rPr>
        <w:t>ICE</w:t>
      </w:r>
      <w:r>
        <w:rPr>
          <w:rFonts w:ascii="Arial" w:cs="Arial" w:eastAsia="Arial" w:hAnsi="Arial"/>
          <w:sz w:val="18"/>
          <w:szCs w:val="18"/>
          <w:color w:val="FF0000"/>
        </w:rPr>
        <w:t xml:space="preserve"> </w:t>
      </w:r>
      <w:r>
        <w:rPr>
          <w:rFonts w:ascii="Arial" w:cs="Arial" w:eastAsia="Arial" w:hAnsi="Arial"/>
          <w:sz w:val="18"/>
          <w:szCs w:val="18"/>
          <w:color w:val="000000"/>
        </w:rPr>
        <w:t xml:space="preserve">Benchmark Administration </w:t>
      </w:r>
      <w:r>
        <w:rPr>
          <w:rFonts w:ascii="Arial" w:cs="Arial" w:eastAsia="Arial" w:hAnsi="Arial"/>
          <w:sz w:val="18"/>
          <w:szCs w:val="18"/>
          <w:color w:val="FF0000"/>
        </w:rPr>
        <w:t>Limited</w:t>
      </w:r>
      <w:r>
        <w:rPr>
          <w:rFonts w:ascii="Arial" w:cs="Arial" w:eastAsia="Arial" w:hAnsi="Arial"/>
          <w:sz w:val="18"/>
          <w:szCs w:val="18"/>
          <w:color w:val="000000"/>
        </w:rPr>
        <w:t xml:space="preserve"> (or any successor </w:t>
      </w:r>
      <w:r>
        <w:rPr>
          <w:rFonts w:ascii="Arial" w:cs="Arial" w:eastAsia="Arial" w:hAnsi="Arial"/>
          <w:sz w:val="18"/>
          <w:szCs w:val="18"/>
          <w:color w:val="FF0000"/>
          <w:strike w:val="1"/>
        </w:rPr>
        <w:t>thereto) Interest Settlement Rate at approximately 11:00 A.M. (</w:t>
      </w:r>
      <w:r>
        <w:rPr>
          <w:rFonts w:ascii="Arial" w:cs="Arial" w:eastAsia="Arial" w:hAnsi="Arial"/>
          <w:sz w:val="18"/>
          <w:szCs w:val="18"/>
          <w:u w:val="single" w:color="auto"/>
          <w:color w:val="0000FF"/>
        </w:rPr>
        <w:t>administrator of</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LIBOR rates) fixes as its LIBOR rate as of 11:00 a.m.</w:t>
      </w:r>
      <w:r>
        <w:rPr>
          <w:rFonts w:ascii="Arial" w:cs="Arial" w:eastAsia="Arial" w:hAnsi="Arial"/>
          <w:sz w:val="18"/>
          <w:szCs w:val="18"/>
          <w:color w:val="0000FF"/>
        </w:rPr>
        <w:t xml:space="preserve"> </w:t>
      </w:r>
      <w:r>
        <w:rPr>
          <w:rFonts w:ascii="Arial" w:cs="Arial" w:eastAsia="Arial" w:hAnsi="Arial"/>
          <w:sz w:val="18"/>
          <w:szCs w:val="18"/>
          <w:color w:val="000000"/>
        </w:rPr>
        <w:t>London time</w:t>
      </w:r>
      <w:r>
        <w:rPr>
          <w:rFonts w:ascii="Arial" w:cs="Arial" w:eastAsia="Arial" w:hAnsi="Arial"/>
          <w:sz w:val="18"/>
          <w:szCs w:val="18"/>
          <w:color w:val="FF0000"/>
          <w:strike w:val="1"/>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on the day that is</w:t>
      </w:r>
      <w:r>
        <w:rPr>
          <w:rFonts w:ascii="Arial" w:cs="Arial" w:eastAsia="Arial" w:hAnsi="Arial"/>
          <w:sz w:val="18"/>
          <w:szCs w:val="18"/>
          <w:color w:val="0000FF"/>
        </w:rPr>
        <w:t xml:space="preserve"> </w:t>
      </w:r>
      <w:r>
        <w:rPr>
          <w:rFonts w:ascii="Arial" w:cs="Arial" w:eastAsia="Arial" w:hAnsi="Arial"/>
          <w:sz w:val="18"/>
          <w:szCs w:val="18"/>
          <w:color w:val="000000"/>
        </w:rPr>
        <w:t>two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r>
        <w:rPr>
          <w:rFonts w:ascii="Arial" w:cs="Arial" w:eastAsia="Arial" w:hAnsi="Arial"/>
          <w:sz w:val="18"/>
          <w:szCs w:val="18"/>
          <w:color w:val="000000"/>
        </w:rPr>
        <w:t>Business Days prior to the</w:t>
      </w:r>
      <w:r>
        <w:rPr>
          <w:rFonts w:ascii="Arial" w:cs="Arial" w:eastAsia="Arial" w:hAnsi="Arial"/>
          <w:sz w:val="18"/>
          <w:szCs w:val="18"/>
          <w:color w:val="0000FF"/>
        </w:rPr>
        <w:t xml:space="preserve"> </w:t>
      </w:r>
      <w:r>
        <w:rPr>
          <w:rFonts w:ascii="Arial" w:cs="Arial" w:eastAsia="Arial" w:hAnsi="Arial"/>
          <w:sz w:val="18"/>
          <w:szCs w:val="18"/>
          <w:color w:val="FF0000"/>
          <w:strike w:val="1"/>
        </w:rPr>
        <w:t>commencement of</w:t>
      </w:r>
      <w:r>
        <w:rPr>
          <w:rFonts w:ascii="Arial" w:cs="Arial" w:eastAsia="Arial" w:hAnsi="Arial"/>
          <w:sz w:val="18"/>
          <w:szCs w:val="18"/>
          <w:color w:val="0000FF"/>
        </w:rPr>
        <w:t xml:space="preserve"> </w:t>
      </w:r>
      <w:r>
        <w:rPr>
          <w:rFonts w:ascii="Arial" w:cs="Arial" w:eastAsia="Arial" w:hAnsi="Arial"/>
          <w:sz w:val="18"/>
          <w:szCs w:val="18"/>
          <w:color w:val="FF0000"/>
          <w:strike w:val="1"/>
        </w:rPr>
        <w:t>such Interest Period, for deposits in Dollars with a maturity comparable to</w:t>
      </w:r>
      <w:r>
        <w:rPr>
          <w:rFonts w:ascii="Arial" w:cs="Arial" w:eastAsia="Arial" w:hAnsi="Arial"/>
          <w:sz w:val="18"/>
          <w:szCs w:val="18"/>
          <w:u w:val="single" w:color="auto"/>
          <w:color w:val="0000FF"/>
        </w:rPr>
        <w:t>beginning of</w:t>
      </w:r>
      <w:r>
        <w:rPr>
          <w:rFonts w:ascii="Arial" w:cs="Arial" w:eastAsia="Arial" w:hAnsi="Arial"/>
          <w:sz w:val="18"/>
          <w:szCs w:val="18"/>
          <w:color w:val="FF0000"/>
        </w:rPr>
        <w:t xml:space="preserve"> </w:t>
      </w:r>
      <w:r>
        <w:rPr>
          <w:rFonts w:ascii="Arial" w:cs="Arial" w:eastAsia="Arial" w:hAnsi="Arial"/>
          <w:sz w:val="18"/>
          <w:szCs w:val="18"/>
          <w:color w:val="000000"/>
        </w:rPr>
        <w:t>such Interest Period, divided by (ii) a percentage</w:t>
      </w:r>
      <w:r>
        <w:rPr>
          <w:rFonts w:ascii="Arial" w:cs="Arial" w:eastAsia="Arial" w:hAnsi="Arial"/>
          <w:sz w:val="18"/>
          <w:szCs w:val="18"/>
          <w:color w:val="FF0000"/>
        </w:rPr>
        <w:t xml:space="preserve"> </w:t>
      </w:r>
      <w:r>
        <w:rPr>
          <w:rFonts w:ascii="Arial" w:cs="Arial" w:eastAsia="Arial" w:hAnsi="Arial"/>
          <w:sz w:val="18"/>
          <w:szCs w:val="18"/>
          <w:color w:val="000000"/>
        </w:rPr>
        <w:t xml:space="preserve">equal to 100% minus the then stated maximum rate of all reserve requirements (including, without limitation, any marginal, emergency, supplemental, special or other reserves and without benefit of credits for proration, exceptions or offsets that may be available from time to time) applicable to any member bank of the Federal Reserve System in respect of Eurocurrency liabilities as defined in Regulation D (or any successor category of liabilities under Regulation D);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xml:space="preserve">, that in </w:t>
      </w:r>
      <w:r>
        <w:rPr>
          <w:rFonts w:ascii="Arial" w:cs="Arial" w:eastAsia="Arial" w:hAnsi="Arial"/>
          <w:sz w:val="18"/>
          <w:szCs w:val="18"/>
          <w:color w:val="FF0000"/>
          <w:strike w:val="1"/>
        </w:rPr>
        <w:t>the event that the rate referred to in clause (i) above is not</w:t>
      </w:r>
      <w:r>
        <w:rPr>
          <w:rFonts w:ascii="Arial" w:cs="Arial" w:eastAsia="Arial" w:hAnsi="Arial"/>
          <w:sz w:val="18"/>
          <w:szCs w:val="18"/>
          <w:color w:val="000000"/>
        </w:rPr>
        <w:t xml:space="preserve"> </w:t>
      </w:r>
      <w:r>
        <w:rPr>
          <w:rFonts w:ascii="Arial" w:cs="Arial" w:eastAsia="Arial" w:hAnsi="Arial"/>
          <w:sz w:val="18"/>
          <w:szCs w:val="18"/>
          <w:color w:val="FF0000"/>
          <w:strike w:val="1"/>
        </w:rPr>
        <w:t xml:space="preserve">available at any such time for any reason, then the rate referred to in clause (i) shall instead be the interest rate per annum, as determined by the Administrative Agent, to be the average of the rates per annum at which deposits in Dollars in an amount equal to the amount of such Eurodollar Loan are offered to major banks in the London interbank market at approximately 11:00 A.M. (London time), two Business </w:t>
      </w:r>
      <w:r>
        <w:rPr>
          <w:rFonts w:ascii="Arial" w:cs="Arial" w:eastAsia="Arial" w:hAnsi="Arial"/>
          <w:sz w:val="18"/>
          <w:szCs w:val="18"/>
          <w:color w:val="E36C0A"/>
          <w:strike w:val="1"/>
        </w:rPr>
        <w:t>Days</w:t>
      </w:r>
      <w:r>
        <w:rPr>
          <w:rFonts w:ascii="Arial" w:cs="Arial" w:eastAsia="Arial" w:hAnsi="Arial"/>
          <w:sz w:val="18"/>
          <w:szCs w:val="18"/>
          <w:color w:val="FF0000"/>
          <w:strike w:val="1"/>
        </w:rPr>
        <w:t xml:space="preserve"> </w:t>
      </w:r>
      <w:r>
        <w:rPr>
          <w:rFonts w:ascii="Arial" w:cs="Arial" w:eastAsia="Arial" w:hAnsi="Arial"/>
          <w:sz w:val="18"/>
          <w:szCs w:val="18"/>
          <w:color w:val="E36C0A"/>
          <w:strike w:val="1"/>
        </w:rPr>
        <w:t>prior to the commencement of such Interest Period</w:t>
      </w:r>
      <w:r>
        <w:rPr>
          <w:rFonts w:ascii="Arial" w:cs="Arial" w:eastAsia="Arial" w:hAnsi="Arial"/>
          <w:sz w:val="18"/>
          <w:szCs w:val="18"/>
          <w:color w:val="FF0000"/>
          <w:strike w:val="1"/>
        </w:rPr>
        <w:t>, for contracts that would be entered into at the commencement of such Interest Period for</w:t>
      </w:r>
      <w:r>
        <w:rPr>
          <w:rFonts w:ascii="Arial" w:cs="Arial" w:eastAsia="Arial" w:hAnsi="Arial"/>
          <w:sz w:val="18"/>
          <w:szCs w:val="18"/>
          <w:color w:val="E36C0A"/>
          <w:strike w:val="1"/>
        </w:rPr>
        <w:t xml:space="preserve"> </w:t>
      </w:r>
      <w:r>
        <w:rPr>
          <w:rFonts w:ascii="Arial" w:cs="Arial" w:eastAsia="Arial" w:hAnsi="Arial"/>
          <w:sz w:val="18"/>
          <w:szCs w:val="18"/>
          <w:color w:val="FF0000"/>
          <w:strike w:val="1"/>
        </w:rPr>
        <w:t xml:space="preserve">the same duration as such Interest Period;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i w:val="1"/>
          <w:iCs w:val="1"/>
          <w:color w:val="FF0000"/>
          <w:strike w:val="1"/>
        </w:rPr>
        <w:t>further</w:t>
      </w:r>
      <w:r>
        <w:rPr>
          <w:rFonts w:ascii="Arial" w:cs="Arial" w:eastAsia="Arial" w:hAnsi="Arial"/>
          <w:sz w:val="18"/>
          <w:szCs w:val="18"/>
          <w:color w:val="FF0000"/>
          <w:strike w:val="1"/>
        </w:rPr>
        <w:t xml:space="preserve">, that in </w:t>
      </w:r>
      <w:r>
        <w:rPr>
          <w:rFonts w:ascii="Arial" w:cs="Arial" w:eastAsia="Arial" w:hAnsi="Arial"/>
          <w:sz w:val="18"/>
          <w:szCs w:val="18"/>
          <w:color w:val="000000"/>
          <w:strike w:val="1"/>
        </w:rPr>
        <w:t>no event will the Adjusted LIBO Rate be less than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-1625600</wp:posOffset>
            </wp:positionV>
            <wp:extent cx="20377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037715" cy="8255"/>
                    </a:xfrm>
                    <a:prstGeom prst="rect">
                      <a:avLst/>
                    </a:prstGeom>
                    <a:noFill/>
                  </pic:spPr>
                </pic:pic>
              </a:graphicData>
            </a:graphic>
          </wp:anchor>
        </w:drawing>
      </w:r>
    </w:p>
    <w:p>
      <w:pPr>
        <w:spacing w:after="0" w:line="116" w:lineRule="exact"/>
        <w:rPr>
          <w:sz w:val="20"/>
          <w:szCs w:val="20"/>
          <w:color w:val="auto"/>
        </w:rPr>
      </w:pPr>
    </w:p>
    <w:p>
      <w:pPr>
        <w:ind w:right="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means KeyBank National Association, in its capacity as administrative agent for the Lenders hereunder, and any successor thereto appointed pursuant to Article VIII.</w:t>
      </w:r>
    </w:p>
    <w:p>
      <w:pPr>
        <w:spacing w:after="0" w:line="142" w:lineRule="exact"/>
        <w:rPr>
          <w:sz w:val="20"/>
          <w:szCs w:val="20"/>
          <w:color w:val="auto"/>
        </w:rPr>
      </w:pPr>
    </w:p>
    <w:p>
      <w:pPr>
        <w:ind w:right="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 Fee Letter</w:t>
      </w:r>
      <w:r>
        <w:rPr>
          <w:rFonts w:ascii="Arial" w:cs="Arial" w:eastAsia="Arial" w:hAnsi="Arial"/>
          <w:sz w:val="20"/>
          <w:szCs w:val="20"/>
          <w:color w:val="auto"/>
        </w:rPr>
        <w:t>” means the Fee Letter, dated as of March 3, 2020, among the Company, the Administrative Agent and KeyBanc Capital Markets Inc.</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62" w:lineRule="exact"/>
        <w:rPr>
          <w:sz w:val="20"/>
          <w:szCs w:val="20"/>
          <w:color w:val="auto"/>
        </w:rPr>
      </w:pPr>
    </w:p>
    <w:p>
      <w:pPr>
        <w:ind w:right="1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Agent Party</w:t>
      </w:r>
      <w:r>
        <w:rPr>
          <w:rFonts w:ascii="Arial" w:cs="Arial" w:eastAsia="Arial" w:hAnsi="Arial"/>
          <w:sz w:val="20"/>
          <w:szCs w:val="20"/>
          <w:color w:val="auto"/>
        </w:rPr>
        <w:t>” has the meaning assigned to such term in Section 10.01(d).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-2-</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72" w:name="page73"/>
    <w:bookmarkEnd w:id="72"/>
    <w:p>
      <w:pPr>
        <w:ind w:right="2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means this Revolving Credit and Term Loan Agreement, as amended, restated, supplemented or otherwise modified from time to time.</w:t>
      </w:r>
    </w:p>
    <w:p>
      <w:pPr>
        <w:spacing w:after="0" w:line="142" w:lineRule="exact"/>
        <w:rPr>
          <w:sz w:val="20"/>
          <w:szCs w:val="20"/>
          <w:color w:val="auto"/>
        </w:rPr>
      </w:pPr>
    </w:p>
    <w:p>
      <w:pPr>
        <w:ind w:firstLine="648"/>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Alternate Base Rate</w:t>
      </w:r>
      <w:r>
        <w:rPr>
          <w:rFonts w:ascii="Arial" w:cs="Arial" w:eastAsia="Arial" w:hAnsi="Arial"/>
          <w:sz w:val="18"/>
          <w:szCs w:val="18"/>
          <w:color w:val="auto"/>
        </w:rPr>
        <w:t xml:space="preserve">” means, for any day, a rate per annum equal to the greatest of (a) the Prime Rate in effect on such day, (b) the Federal Funds Effective Rate in effect on such day plus </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of 1% and (c) the Adjusted LIBO Rate for a one month Interest Period on such day (or if such day is not a Business Day, the immediately preceding Business Day) plus 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the Adjusted LIBO Rate for any day shall be based on the </w:t>
      </w:r>
      <w:r>
        <w:rPr>
          <w:rFonts w:ascii="Arial" w:cs="Arial" w:eastAsia="Arial" w:hAnsi="Arial"/>
          <w:sz w:val="18"/>
          <w:szCs w:val="18"/>
          <w:u w:val="single" w:color="auto"/>
          <w:color w:val="0000FF"/>
        </w:rPr>
        <w:t>offered</w:t>
      </w:r>
      <w:r>
        <w:rPr>
          <w:rFonts w:ascii="Arial" w:cs="Arial" w:eastAsia="Arial" w:hAnsi="Arial"/>
          <w:sz w:val="18"/>
          <w:szCs w:val="18"/>
          <w:color w:val="auto"/>
        </w:rPr>
        <w:t xml:space="preserve"> rate </w:t>
      </w:r>
      <w:r>
        <w:rPr>
          <w:rFonts w:ascii="Arial" w:cs="Arial" w:eastAsia="Arial" w:hAnsi="Arial"/>
          <w:sz w:val="18"/>
          <w:szCs w:val="18"/>
          <w:color w:val="FF0000"/>
          <w:strike w:val="1"/>
        </w:rPr>
        <w:t>appearing on the Reuters Screen LIBOR01 Page</w:t>
      </w:r>
      <w:r>
        <w:rPr>
          <w:rFonts w:ascii="Arial" w:cs="Arial" w:eastAsia="Arial" w:hAnsi="Arial"/>
          <w:sz w:val="18"/>
          <w:szCs w:val="18"/>
          <w:u w:val="single" w:color="auto"/>
          <w:color w:val="0000FF"/>
        </w:rPr>
        <w:t>for Dollar deposits that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 ICE Benchmark Administration</w:t>
      </w:r>
      <w:r>
        <w:rPr>
          <w:rFonts w:ascii="Arial" w:cs="Arial" w:eastAsia="Arial" w:hAnsi="Arial"/>
          <w:sz w:val="18"/>
          <w:szCs w:val="18"/>
          <w:color w:val="0000FF"/>
        </w:rPr>
        <w:t xml:space="preserve"> </w:t>
      </w:r>
      <w:r>
        <w:rPr>
          <w:rFonts w:ascii="Arial" w:cs="Arial" w:eastAsia="Arial" w:hAnsi="Arial"/>
          <w:sz w:val="18"/>
          <w:szCs w:val="18"/>
          <w:color w:val="000000"/>
        </w:rPr>
        <w:t>(or</w:t>
      </w:r>
      <w:r>
        <w:rPr>
          <w:rFonts w:ascii="Arial" w:cs="Arial" w:eastAsia="Arial" w:hAnsi="Arial"/>
          <w:sz w:val="18"/>
          <w:szCs w:val="18"/>
          <w:color w:val="0000FF"/>
        </w:rPr>
        <w:t xml:space="preserve"> </w:t>
      </w:r>
      <w:r>
        <w:rPr>
          <w:rFonts w:ascii="Arial" w:cs="Arial" w:eastAsia="Arial" w:hAnsi="Arial"/>
          <w:sz w:val="18"/>
          <w:szCs w:val="18"/>
          <w:color w:val="FF0000"/>
          <w:strike w:val="1"/>
        </w:rPr>
        <w:t>on</w:t>
      </w:r>
      <w:r>
        <w:rPr>
          <w:rFonts w:ascii="Arial" w:cs="Arial" w:eastAsia="Arial" w:hAnsi="Arial"/>
          <w:sz w:val="18"/>
          <w:szCs w:val="18"/>
          <w:color w:val="0000FF"/>
        </w:rPr>
        <w:t xml:space="preserve"> any successor </w:t>
      </w:r>
      <w:r>
        <w:rPr>
          <w:rFonts w:ascii="Arial" w:cs="Arial" w:eastAsia="Arial" w:hAnsi="Arial"/>
          <w:sz w:val="18"/>
          <w:szCs w:val="18"/>
          <w:color w:val="FF0000"/>
          <w:strike w:val="1"/>
        </w:rPr>
        <w:t>or substitute page of such page)</w:t>
      </w:r>
      <w:r>
        <w:rPr>
          <w:rFonts w:ascii="Arial" w:cs="Arial" w:eastAsia="Arial" w:hAnsi="Arial"/>
          <w:sz w:val="18"/>
          <w:szCs w:val="18"/>
          <w:u w:val="single" w:color="auto"/>
          <w:color w:val="0000FF"/>
        </w:rPr>
        <w:t>administrator of LIBOR rates) fixes as its LIBOR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rate</w:t>
      </w:r>
      <w:r>
        <w:rPr>
          <w:rFonts w:ascii="Arial" w:cs="Arial" w:eastAsia="Arial" w:hAnsi="Arial"/>
          <w:sz w:val="18"/>
          <w:szCs w:val="18"/>
          <w:color w:val="0000FF"/>
        </w:rPr>
        <w:t xml:space="preserve"> </w:t>
      </w:r>
      <w:r>
        <w:rPr>
          <w:rFonts w:ascii="Arial" w:cs="Arial" w:eastAsia="Arial" w:hAnsi="Arial"/>
          <w:sz w:val="18"/>
          <w:szCs w:val="18"/>
          <w:color w:val="000000"/>
        </w:rPr>
        <w:t>at approximately 11:00 a.m. London time on such day. Any change in the Alternate Base Rate due to a change in the Prime Rate, the</w:t>
      </w:r>
      <w:r>
        <w:rPr>
          <w:rFonts w:ascii="Arial" w:cs="Arial" w:eastAsia="Arial" w:hAnsi="Arial"/>
          <w:sz w:val="18"/>
          <w:szCs w:val="18"/>
          <w:color w:val="0000FF"/>
        </w:rPr>
        <w:t xml:space="preserve"> </w:t>
      </w:r>
      <w:r>
        <w:rPr>
          <w:rFonts w:ascii="Arial" w:cs="Arial" w:eastAsia="Arial" w:hAnsi="Arial"/>
          <w:sz w:val="18"/>
          <w:szCs w:val="18"/>
          <w:color w:val="000000"/>
        </w:rPr>
        <w:t>Federal Funds Effective Rate or the Adjusted LIBO Rate shall be effective from and including the effective date of such change in the Prime Rate, the Federal Funds Effective Rate or the Adjusted LIBO Rate, respectively.</w:t>
      </w:r>
    </w:p>
    <w:p>
      <w:pPr>
        <w:spacing w:after="0" w:line="130" w:lineRule="exact"/>
        <w:rPr>
          <w:sz w:val="20"/>
          <w:szCs w:val="20"/>
          <w:color w:val="auto"/>
        </w:rPr>
      </w:pPr>
    </w:p>
    <w:p>
      <w:pPr>
        <w:ind w:right="74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Amendment No. 1</w:t>
      </w:r>
      <w:r>
        <w:rPr>
          <w:rFonts w:ascii="Arial" w:cs="Arial" w:eastAsia="Arial" w:hAnsi="Arial"/>
          <w:sz w:val="19"/>
          <w:szCs w:val="19"/>
          <w:color w:val="auto"/>
        </w:rPr>
        <w:t>” means Amendment No. 1 and Joinder to Revolving Credit and Term Loan Agreement, dated as of the Amendment No. 1 Effective Date, among the Borrowers, the Administrative Agent and the Lenders party thereto.</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Amendment No. 1 Effective Date</w:t>
      </w:r>
      <w:r>
        <w:rPr>
          <w:rFonts w:ascii="Arial" w:cs="Arial" w:eastAsia="Arial" w:hAnsi="Arial"/>
          <w:sz w:val="20"/>
          <w:szCs w:val="20"/>
          <w:color w:val="auto"/>
        </w:rPr>
        <w:t>” means October 30, 2020.</w:t>
      </w:r>
    </w:p>
    <w:p>
      <w:pPr>
        <w:spacing w:after="0" w:line="162" w:lineRule="exact"/>
        <w:rPr>
          <w:sz w:val="20"/>
          <w:szCs w:val="20"/>
          <w:color w:val="auto"/>
        </w:rPr>
      </w:pPr>
    </w:p>
    <w:p>
      <w:pPr>
        <w:ind w:right="740" w:firstLine="648"/>
        <w:spacing w:after="0" w:line="242"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i w:val="1"/>
          <w:iCs w:val="1"/>
          <w:u w:val="single" w:color="auto"/>
          <w:color w:val="0000FF"/>
        </w:rPr>
        <w:t>Amendment No. 2</w:t>
      </w:r>
      <w:r>
        <w:rPr>
          <w:rFonts w:ascii="Arial" w:cs="Arial" w:eastAsia="Arial" w:hAnsi="Arial"/>
          <w:sz w:val="19"/>
          <w:szCs w:val="19"/>
          <w:u w:val="single" w:color="auto"/>
          <w:color w:val="0000FF"/>
        </w:rPr>
        <w:t>” means Amendment No. 2 and Joinder to Revolving Credit and Term Loan Agreement, dated as of the Amendment No. 2 Effective Date, among the Borrowers, the Administrative Agent and the Lenders party thereto.</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Amendment No. 2 Effective Date</w:t>
      </w:r>
      <w:r>
        <w:rPr>
          <w:rFonts w:ascii="Arial" w:cs="Arial" w:eastAsia="Arial" w:hAnsi="Arial"/>
          <w:sz w:val="20"/>
          <w:szCs w:val="20"/>
          <w:u w:val="single" w:color="auto"/>
          <w:color w:val="0000FF"/>
        </w:rPr>
        <w:t>” means December 17, 2021.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Maturity Date</w:t>
      </w:r>
      <w:r>
        <w:rPr>
          <w:rFonts w:ascii="Arial" w:cs="Arial" w:eastAsia="Arial" w:hAnsi="Arial"/>
          <w:sz w:val="20"/>
          <w:szCs w:val="20"/>
          <w:color w:val="auto"/>
        </w:rPr>
        <w:t>” has the meaning assigned to such term in Section 2.22(a).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Rate</w:t>
      </w:r>
      <w:r>
        <w:rPr>
          <w:rFonts w:ascii="Arial" w:cs="Arial" w:eastAsia="Arial" w:hAnsi="Arial"/>
          <w:sz w:val="20"/>
          <w:szCs w:val="20"/>
          <w:color w:val="auto"/>
        </w:rPr>
        <w:t>” means, as of any date of determination:</w:t>
      </w:r>
    </w:p>
    <w:p>
      <w:pPr>
        <w:spacing w:after="0" w:line="148" w:lineRule="exact"/>
        <w:rPr>
          <w:sz w:val="20"/>
          <w:szCs w:val="20"/>
          <w:color w:val="auto"/>
        </w:rPr>
      </w:pPr>
    </w:p>
    <w:p>
      <w:pPr>
        <w:ind w:right="40" w:firstLine="656"/>
        <w:spacing w:after="0" w:line="229" w:lineRule="auto"/>
        <w:tabs>
          <w:tab w:leader="none" w:pos="1286" w:val="left"/>
        </w:tabs>
        <w:numPr>
          <w:ilvl w:val="0"/>
          <w:numId w:val="43"/>
        </w:numPr>
        <w:rPr>
          <w:rFonts w:ascii="Arial" w:cs="Arial" w:eastAsia="Arial" w:hAnsi="Arial"/>
          <w:sz w:val="20"/>
          <w:szCs w:val="20"/>
          <w:color w:val="auto"/>
        </w:rPr>
      </w:pPr>
      <w:r>
        <w:rPr>
          <w:rFonts w:ascii="Arial" w:cs="Arial" w:eastAsia="Arial" w:hAnsi="Arial"/>
          <w:sz w:val="20"/>
          <w:szCs w:val="20"/>
          <w:color w:val="auto"/>
        </w:rPr>
        <w:t>on the Closing Date and thereafter until changed in accordance with the provisions set forth in this definition, the applicable rate per annum applicable to Level II in the table set forth below;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-3-</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140"/>
          </w:cols>
          <w:pgMar w:left="320" w:top="1405" w:right="439" w:bottom="1440" w:gutter="0" w:footer="0" w:header="0"/>
        </w:sectPr>
      </w:pPr>
    </w:p>
    <w:bookmarkStart w:id="73" w:name="page74"/>
    <w:bookmarkEnd w:id="73"/>
    <w:p>
      <w:pPr>
        <w:ind w:right="300" w:firstLine="656"/>
        <w:spacing w:after="0" w:line="218" w:lineRule="auto"/>
        <w:tabs>
          <w:tab w:leader="none" w:pos="1284" w:val="left"/>
        </w:tabs>
        <w:numPr>
          <w:ilvl w:val="0"/>
          <w:numId w:val="44"/>
        </w:numPr>
        <w:rPr>
          <w:rFonts w:ascii="Arial" w:cs="Arial" w:eastAsia="Arial" w:hAnsi="Arial"/>
          <w:sz w:val="20"/>
          <w:szCs w:val="20"/>
          <w:color w:val="auto"/>
        </w:rPr>
      </w:pPr>
      <w:r>
        <w:rPr>
          <w:rFonts w:ascii="Arial" w:cs="Arial" w:eastAsia="Arial" w:hAnsi="Arial"/>
          <w:sz w:val="20"/>
          <w:szCs w:val="20"/>
          <w:color w:val="auto"/>
        </w:rPr>
        <w:t>commencing on the date on which a Compliance Certificate is delivered with respect to the fiscal quarter ending April 30, 2020 and continuing with each fiscal quarter thereafter, the applicable rate per annum determined in accordance with the table set forth below:</w:t>
      </w:r>
    </w:p>
    <w:p>
      <w:pPr>
        <w:spacing w:after="0" w:line="180"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22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Ratio Level</w:t>
            </w:r>
          </w:p>
        </w:tc>
        <w:tc>
          <w:tcPr>
            <w:tcW w:w="2240" w:type="dxa"/>
            <w:vAlign w:val="bottom"/>
            <w:tcBorders>
              <w:top w:val="single" w:sz="8" w:color="auto"/>
              <w:right w:val="single" w:sz="8" w:color="auto"/>
            </w:tcBorders>
          </w:tcPr>
          <w:p>
            <w:pPr>
              <w:ind w:left="520"/>
              <w:spacing w:after="0" w:line="189" w:lineRule="exact"/>
              <w:rPr>
                <w:sz w:val="20"/>
                <w:szCs w:val="20"/>
                <w:color w:val="auto"/>
              </w:rPr>
            </w:pPr>
            <w:r>
              <w:rPr>
                <w:rFonts w:ascii="Arial" w:cs="Arial" w:eastAsia="Arial" w:hAnsi="Arial"/>
                <w:sz w:val="18"/>
                <w:szCs w:val="18"/>
                <w:b w:val="1"/>
                <w:bCs w:val="1"/>
                <w:color w:val="auto"/>
              </w:rPr>
              <w:t>Total Leverage</w:t>
            </w:r>
          </w:p>
        </w:tc>
        <w:tc>
          <w:tcPr>
            <w:tcW w:w="22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Eurodollar—App licable</w:t>
            </w:r>
          </w:p>
        </w:tc>
        <w:tc>
          <w:tcPr>
            <w:tcW w:w="22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Foreign Currency –</w:t>
            </w:r>
          </w:p>
        </w:tc>
        <w:tc>
          <w:tcPr>
            <w:tcW w:w="22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ABR – Applicable Rate</w:t>
            </w:r>
          </w:p>
        </w:tc>
        <w:tc>
          <w:tcPr>
            <w:tcW w:w="0" w:type="dxa"/>
            <w:vAlign w:val="bottom"/>
          </w:tcPr>
          <w:p>
            <w:pPr>
              <w:spacing w:after="0"/>
              <w:rPr>
                <w:sz w:val="1"/>
                <w:szCs w:val="1"/>
                <w:color w:val="auto"/>
              </w:rPr>
            </w:pPr>
          </w:p>
        </w:tc>
      </w:tr>
      <w:tr>
        <w:trPr>
          <w:trHeight w:val="135"/>
        </w:trPr>
        <w:tc>
          <w:tcPr>
            <w:tcW w:w="2240" w:type="dxa"/>
            <w:vAlign w:val="bottom"/>
            <w:tcBorders>
              <w:left w:val="single" w:sz="8" w:color="auto"/>
              <w:right w:val="single" w:sz="8" w:color="auto"/>
            </w:tcBorders>
            <w:vMerge w:val="continue"/>
          </w:tcPr>
          <w:p>
            <w:pPr>
              <w:spacing w:after="0"/>
              <w:rPr>
                <w:sz w:val="11"/>
                <w:szCs w:val="11"/>
                <w:color w:val="auto"/>
              </w:rPr>
            </w:pPr>
          </w:p>
        </w:tc>
        <w:tc>
          <w:tcPr>
            <w:tcW w:w="2240" w:type="dxa"/>
            <w:vAlign w:val="bottom"/>
            <w:tcBorders>
              <w:right w:val="single" w:sz="8" w:color="auto"/>
            </w:tcBorders>
            <w:vMerge w:val="restart"/>
          </w:tcPr>
          <w:p>
            <w:pPr>
              <w:ind w:left="900"/>
              <w:spacing w:after="0"/>
              <w:rPr>
                <w:sz w:val="20"/>
                <w:szCs w:val="20"/>
                <w:color w:val="auto"/>
              </w:rPr>
            </w:pPr>
            <w:r>
              <w:rPr>
                <w:rFonts w:ascii="Arial" w:cs="Arial" w:eastAsia="Arial" w:hAnsi="Arial"/>
                <w:sz w:val="18"/>
                <w:szCs w:val="18"/>
                <w:b w:val="1"/>
                <w:bCs w:val="1"/>
                <w:color w:val="auto"/>
              </w:rPr>
              <w:t>Ratio</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Rate</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Applicable Rate</w:t>
            </w:r>
          </w:p>
        </w:tc>
        <w:tc>
          <w:tcPr>
            <w:tcW w:w="2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40" w:type="dxa"/>
            <w:vAlign w:val="bottom"/>
            <w:tcBorders>
              <w:left w:val="single" w:sz="8" w:color="auto"/>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2260" w:type="dxa"/>
            <w:vAlign w:val="bottom"/>
            <w:tcBorders>
              <w:bottom w:val="single" w:sz="8" w:color="auto"/>
              <w:right w:val="single" w:sz="8" w:color="auto"/>
            </w:tcBorders>
            <w:vMerge w:val="continue"/>
          </w:tcPr>
          <w:p>
            <w:pPr>
              <w:spacing w:after="0"/>
              <w:rPr>
                <w:sz w:val="8"/>
                <w:szCs w:val="8"/>
                <w:color w:val="auto"/>
              </w:rPr>
            </w:pPr>
          </w:p>
        </w:tc>
        <w:tc>
          <w:tcPr>
            <w:tcW w:w="2240" w:type="dxa"/>
            <w:vAlign w:val="bottom"/>
            <w:tcBorders>
              <w:bottom w:val="single" w:sz="8" w:color="auto"/>
              <w:right w:val="single" w:sz="8" w:color="auto"/>
            </w:tcBorders>
            <w:vMerge w:val="continue"/>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Level I</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Less than 1.50 to 1.00</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0.75%</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0.75%</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0.00%</w:t>
            </w:r>
          </w:p>
        </w:tc>
        <w:tc>
          <w:tcPr>
            <w:tcW w:w="0" w:type="dxa"/>
            <w:vAlign w:val="bottom"/>
          </w:tcPr>
          <w:p>
            <w:pPr>
              <w:spacing w:after="0"/>
              <w:rPr>
                <w:sz w:val="1"/>
                <w:szCs w:val="1"/>
                <w:color w:val="auto"/>
              </w:rPr>
            </w:pPr>
          </w:p>
        </w:tc>
      </w:tr>
      <w:tr>
        <w:trPr>
          <w:trHeight w:val="183"/>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Level II</w:t>
            </w:r>
          </w:p>
        </w:tc>
        <w:tc>
          <w:tcPr>
            <w:tcW w:w="2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20"/>
                <w:szCs w:val="20"/>
                <w:color w:val="auto"/>
                <w:w w:val="92"/>
              </w:rPr>
              <w:t>Greater  than  or  equal  to</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0.875%</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0.875%</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0.00%</w:t>
            </w:r>
          </w:p>
        </w:tc>
        <w:tc>
          <w:tcPr>
            <w:tcW w:w="0" w:type="dxa"/>
            <w:vAlign w:val="bottom"/>
          </w:tcPr>
          <w:p>
            <w:pPr>
              <w:spacing w:after="0"/>
              <w:rPr>
                <w:sz w:val="1"/>
                <w:szCs w:val="1"/>
                <w:color w:val="auto"/>
              </w:rPr>
            </w:pPr>
          </w:p>
        </w:tc>
      </w:tr>
      <w:tr>
        <w:trPr>
          <w:trHeight w:val="189"/>
        </w:trPr>
        <w:tc>
          <w:tcPr>
            <w:tcW w:w="2240" w:type="dxa"/>
            <w:vAlign w:val="bottom"/>
            <w:tcBorders>
              <w:left w:val="single" w:sz="8" w:color="auto"/>
              <w:right w:val="single" w:sz="8" w:color="auto"/>
            </w:tcBorders>
            <w:vMerge w:val="continue"/>
          </w:tcPr>
          <w:p>
            <w:pPr>
              <w:spacing w:after="0"/>
              <w:rPr>
                <w:sz w:val="16"/>
                <w:szCs w:val="16"/>
                <w:color w:val="auto"/>
              </w:rPr>
            </w:pPr>
          </w:p>
        </w:tc>
        <w:tc>
          <w:tcPr>
            <w:tcW w:w="22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20"/>
                <w:szCs w:val="20"/>
                <w:color w:val="auto"/>
                <w:w w:val="94"/>
              </w:rPr>
              <w:t>1.50 to 1.00, but less than</w:t>
            </w:r>
          </w:p>
        </w:tc>
        <w:tc>
          <w:tcPr>
            <w:tcW w:w="2260" w:type="dxa"/>
            <w:vAlign w:val="bottom"/>
            <w:tcBorders>
              <w:right w:val="single" w:sz="8" w:color="auto"/>
            </w:tcBorders>
            <w:vMerge w:val="continue"/>
          </w:tcPr>
          <w:p>
            <w:pPr>
              <w:spacing w:after="0"/>
              <w:rPr>
                <w:sz w:val="16"/>
                <w:szCs w:val="16"/>
                <w:color w:val="auto"/>
              </w:rPr>
            </w:pPr>
          </w:p>
        </w:tc>
        <w:tc>
          <w:tcPr>
            <w:tcW w:w="224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4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2.00 to 1.00</w:t>
            </w: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Level III</w:t>
            </w:r>
          </w:p>
        </w:tc>
        <w:tc>
          <w:tcPr>
            <w:tcW w:w="2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20"/>
                <w:szCs w:val="20"/>
                <w:color w:val="auto"/>
                <w:w w:val="92"/>
              </w:rPr>
              <w:t>Greater  than  or  equal  to</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1.00%</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1.00%</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0.00%</w:t>
            </w:r>
          </w:p>
        </w:tc>
        <w:tc>
          <w:tcPr>
            <w:tcW w:w="0" w:type="dxa"/>
            <w:vAlign w:val="bottom"/>
          </w:tcPr>
          <w:p>
            <w:pPr>
              <w:spacing w:after="0"/>
              <w:rPr>
                <w:sz w:val="1"/>
                <w:szCs w:val="1"/>
                <w:color w:val="auto"/>
              </w:rPr>
            </w:pPr>
          </w:p>
        </w:tc>
      </w:tr>
      <w:tr>
        <w:trPr>
          <w:trHeight w:val="189"/>
        </w:trPr>
        <w:tc>
          <w:tcPr>
            <w:tcW w:w="2240" w:type="dxa"/>
            <w:vAlign w:val="bottom"/>
            <w:tcBorders>
              <w:left w:val="single" w:sz="8" w:color="auto"/>
              <w:right w:val="single" w:sz="8" w:color="auto"/>
            </w:tcBorders>
            <w:vMerge w:val="continue"/>
          </w:tcPr>
          <w:p>
            <w:pPr>
              <w:spacing w:after="0"/>
              <w:rPr>
                <w:sz w:val="16"/>
                <w:szCs w:val="16"/>
                <w:color w:val="auto"/>
              </w:rPr>
            </w:pPr>
          </w:p>
        </w:tc>
        <w:tc>
          <w:tcPr>
            <w:tcW w:w="22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20"/>
                <w:szCs w:val="20"/>
                <w:color w:val="auto"/>
                <w:w w:val="94"/>
              </w:rPr>
              <w:t>2.00 to 1.00, but less than</w:t>
            </w:r>
          </w:p>
        </w:tc>
        <w:tc>
          <w:tcPr>
            <w:tcW w:w="2260" w:type="dxa"/>
            <w:vAlign w:val="bottom"/>
            <w:tcBorders>
              <w:right w:val="single" w:sz="8" w:color="auto"/>
            </w:tcBorders>
            <w:vMerge w:val="continue"/>
          </w:tcPr>
          <w:p>
            <w:pPr>
              <w:spacing w:after="0"/>
              <w:rPr>
                <w:sz w:val="16"/>
                <w:szCs w:val="16"/>
                <w:color w:val="auto"/>
              </w:rPr>
            </w:pPr>
          </w:p>
        </w:tc>
        <w:tc>
          <w:tcPr>
            <w:tcW w:w="224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4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2.50 to 1.00</w:t>
            </w: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Level IV</w:t>
            </w:r>
          </w:p>
        </w:tc>
        <w:tc>
          <w:tcPr>
            <w:tcW w:w="2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20"/>
                <w:szCs w:val="20"/>
                <w:color w:val="auto"/>
                <w:w w:val="92"/>
              </w:rPr>
              <w:t>Greater  than  or  equal  to</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1.25%</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1.25%</w:t>
            </w:r>
          </w:p>
        </w:tc>
        <w:tc>
          <w:tcPr>
            <w:tcW w:w="22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88"/>
              </w:rPr>
              <w:t>0.25%</w:t>
            </w:r>
          </w:p>
        </w:tc>
        <w:tc>
          <w:tcPr>
            <w:tcW w:w="0" w:type="dxa"/>
            <w:vAlign w:val="bottom"/>
          </w:tcPr>
          <w:p>
            <w:pPr>
              <w:spacing w:after="0"/>
              <w:rPr>
                <w:sz w:val="1"/>
                <w:szCs w:val="1"/>
                <w:color w:val="auto"/>
              </w:rPr>
            </w:pPr>
          </w:p>
        </w:tc>
      </w:tr>
      <w:tr>
        <w:trPr>
          <w:trHeight w:val="189"/>
        </w:trPr>
        <w:tc>
          <w:tcPr>
            <w:tcW w:w="2240" w:type="dxa"/>
            <w:vAlign w:val="bottom"/>
            <w:tcBorders>
              <w:left w:val="single" w:sz="8" w:color="auto"/>
              <w:right w:val="single" w:sz="8" w:color="auto"/>
            </w:tcBorders>
            <w:vMerge w:val="continue"/>
          </w:tcPr>
          <w:p>
            <w:pPr>
              <w:spacing w:after="0"/>
              <w:rPr>
                <w:sz w:val="16"/>
                <w:szCs w:val="16"/>
                <w:color w:val="auto"/>
              </w:rPr>
            </w:pPr>
          </w:p>
        </w:tc>
        <w:tc>
          <w:tcPr>
            <w:tcW w:w="22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20"/>
                <w:szCs w:val="20"/>
                <w:color w:val="auto"/>
                <w:w w:val="94"/>
              </w:rPr>
              <w:t>2.50 to 1.00, but less than</w:t>
            </w:r>
          </w:p>
        </w:tc>
        <w:tc>
          <w:tcPr>
            <w:tcW w:w="2260" w:type="dxa"/>
            <w:vAlign w:val="bottom"/>
            <w:tcBorders>
              <w:right w:val="single" w:sz="8" w:color="auto"/>
            </w:tcBorders>
            <w:vMerge w:val="continue"/>
          </w:tcPr>
          <w:p>
            <w:pPr>
              <w:spacing w:after="0"/>
              <w:rPr>
                <w:sz w:val="16"/>
                <w:szCs w:val="16"/>
                <w:color w:val="auto"/>
              </w:rPr>
            </w:pPr>
          </w:p>
        </w:tc>
        <w:tc>
          <w:tcPr>
            <w:tcW w:w="224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40" w:type="dxa"/>
            <w:vAlign w:val="bottom"/>
            <w:tcBorders>
              <w:left w:val="single" w:sz="8" w:color="auto"/>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 to 1.00</w:t>
            </w:r>
          </w:p>
        </w:tc>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Level V</w:t>
            </w:r>
          </w:p>
        </w:tc>
        <w:tc>
          <w:tcPr>
            <w:tcW w:w="2240" w:type="dxa"/>
            <w:vAlign w:val="bottom"/>
            <w:tcBorders>
              <w:right w:val="single" w:sz="8" w:color="auto"/>
            </w:tcBorders>
          </w:tcPr>
          <w:p>
            <w:pPr>
              <w:ind w:left="20"/>
              <w:spacing w:after="0" w:line="183" w:lineRule="exact"/>
              <w:rPr>
                <w:sz w:val="20"/>
                <w:szCs w:val="20"/>
                <w:color w:val="auto"/>
              </w:rPr>
            </w:pPr>
            <w:r>
              <w:rPr>
                <w:rFonts w:ascii="Arial" w:cs="Arial" w:eastAsia="Arial" w:hAnsi="Arial"/>
                <w:sz w:val="20"/>
                <w:szCs w:val="20"/>
                <w:color w:val="auto"/>
                <w:w w:val="92"/>
              </w:rPr>
              <w:t>Greater  than  or  equal  to</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1.50%</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1.50%</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0.50%</w:t>
            </w:r>
          </w:p>
        </w:tc>
        <w:tc>
          <w:tcPr>
            <w:tcW w:w="0" w:type="dxa"/>
            <w:vAlign w:val="bottom"/>
          </w:tcPr>
          <w:p>
            <w:pPr>
              <w:spacing w:after="0"/>
              <w:rPr>
                <w:sz w:val="1"/>
                <w:szCs w:val="1"/>
                <w:color w:val="auto"/>
              </w:rPr>
            </w:pPr>
          </w:p>
        </w:tc>
      </w:tr>
      <w:tr>
        <w:trPr>
          <w:trHeight w:val="153"/>
        </w:trPr>
        <w:tc>
          <w:tcPr>
            <w:tcW w:w="2240" w:type="dxa"/>
            <w:vAlign w:val="bottom"/>
            <w:tcBorders>
              <w:left w:val="single" w:sz="8" w:color="auto"/>
              <w:right w:val="single" w:sz="8" w:color="auto"/>
            </w:tcBorders>
            <w:vMerge w:val="continue"/>
          </w:tcPr>
          <w:p>
            <w:pPr>
              <w:spacing w:after="0"/>
              <w:rPr>
                <w:sz w:val="13"/>
                <w:szCs w:val="13"/>
                <w:color w:val="auto"/>
              </w:rPr>
            </w:pPr>
          </w:p>
        </w:tc>
        <w:tc>
          <w:tcPr>
            <w:tcW w:w="22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3.00 to 1.00</w:t>
            </w:r>
          </w:p>
        </w:tc>
        <w:tc>
          <w:tcPr>
            <w:tcW w:w="226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22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240" w:type="dxa"/>
            <w:vAlign w:val="bottom"/>
            <w:tcBorders>
              <w:left w:val="single" w:sz="8" w:color="auto"/>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vMerge w:val="continue"/>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right w:val="single" w:sz="8" w:color="auto"/>
            </w:tcBorders>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100" w:firstLine="648"/>
        <w:spacing w:after="0" w:line="231" w:lineRule="auto"/>
        <w:rPr>
          <w:sz w:val="20"/>
          <w:szCs w:val="20"/>
          <w:color w:val="auto"/>
        </w:rPr>
      </w:pPr>
      <w:r>
        <w:rPr>
          <w:rFonts w:ascii="Arial" w:cs="Arial" w:eastAsia="Arial" w:hAnsi="Arial"/>
          <w:sz w:val="18"/>
          <w:szCs w:val="18"/>
          <w:color w:val="auto"/>
        </w:rPr>
        <w:t xml:space="preserve">Any increase or decrease in the Applicable Rate resulting from a change in the Total Leverage Ratio shall become effective as of the first Business Day immediately following the date a Compliance Certificate is delivered in accordance with Section 5.01(c);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Compliance Certificate is not delivered when due in accordance with Section 5.01(c), then the Applicable Rate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the percentage that would apply to Level V above and it shall apply as of the first Business Day after the date on which such Compliance Certificate was required to have been delivered until the date on which such Compliance Certificate is delivered (on which date the Applicable Rate shall be set at the margin based upon the calculations in such Compliance Certificate).</w:t>
      </w:r>
    </w:p>
    <w:p>
      <w:pPr>
        <w:spacing w:after="0" w:line="141" w:lineRule="exact"/>
        <w:rPr>
          <w:sz w:val="20"/>
          <w:szCs w:val="20"/>
          <w:color w:val="auto"/>
        </w:rPr>
      </w:pPr>
    </w:p>
    <w:p>
      <w:pPr>
        <w:ind w:right="180" w:firstLine="648"/>
        <w:spacing w:after="0" w:line="207" w:lineRule="auto"/>
        <w:rPr>
          <w:sz w:val="20"/>
          <w:szCs w:val="20"/>
          <w:color w:val="auto"/>
        </w:rPr>
      </w:pPr>
      <w:r>
        <w:rPr>
          <w:rFonts w:ascii="Arial" w:cs="Arial" w:eastAsia="Arial" w:hAnsi="Arial"/>
          <w:sz w:val="20"/>
          <w:szCs w:val="20"/>
          <w:color w:val="auto"/>
        </w:rPr>
        <w:t>If at any time the financial statements upon which the Applicable Rate was determined were incorrect (whether based on a restatement, fraud or otherwise) and as a result thereof, the Total Leverage Ratio was determined incorrectly for any period, the applicable Borrower shall be required to retroactively pay any additional amount that such Borrower would have been required to pay if such financial statements had been accurate at the time they were delivered (or, to the extent that any Borrower paid any amounts in excess of the amounts such Borrower should have paid, then the Lenders shall credit such over-payment to the Indebtedness owing by the applicable Borrower to each such Lender).</w:t>
      </w:r>
    </w:p>
    <w:p>
      <w:pPr>
        <w:spacing w:after="0" w:line="146" w:lineRule="exact"/>
        <w:rPr>
          <w:sz w:val="20"/>
          <w:szCs w:val="20"/>
          <w:color w:val="auto"/>
        </w:rPr>
      </w:pPr>
    </w:p>
    <w:p>
      <w:pPr>
        <w:ind w:right="180"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28" w:lineRule="exact"/>
        <w:rPr>
          <w:sz w:val="20"/>
          <w:szCs w:val="20"/>
          <w:color w:val="auto"/>
        </w:rPr>
      </w:pPr>
    </w:p>
    <w:p>
      <w:pPr>
        <w:ind w:right="300" w:firstLine="648"/>
        <w:spacing w:after="0" w:line="229"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Articles 55 BRRD</w:t>
      </w:r>
      <w:r>
        <w:rPr>
          <w:rFonts w:ascii="Arial" w:cs="Arial" w:eastAsia="Arial" w:hAnsi="Arial"/>
          <w:sz w:val="20"/>
          <w:szCs w:val="20"/>
          <w:u w:val="single" w:color="auto"/>
          <w:color w:val="0000FF"/>
        </w:rPr>
        <w:t>” means Article 55 of Directive 2014/59/EU establishing a framework for the recovery and resolution of credit institutions and investment firms.</w:t>
      </w:r>
    </w:p>
    <w:p>
      <w:pPr>
        <w:spacing w:after="0" w:line="142" w:lineRule="exact"/>
        <w:rPr>
          <w:sz w:val="20"/>
          <w:szCs w:val="20"/>
          <w:color w:val="auto"/>
        </w:rPr>
      </w:pPr>
    </w:p>
    <w:p>
      <w:pPr>
        <w:ind w:right="22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Asset Sale</w:t>
      </w:r>
      <w:r>
        <w:rPr>
          <w:rFonts w:ascii="Arial" w:cs="Arial" w:eastAsia="Arial" w:hAnsi="Arial"/>
          <w:sz w:val="20"/>
          <w:szCs w:val="20"/>
          <w:color w:val="auto"/>
        </w:rPr>
        <w:t>” means the sale, lease, transfer or other disposition (including by means of Sale and Lease-Back Transactions, and by means of mergers, consolidations, amalgamations and liquidations of a corporation, partnership or limited liability company of the interests therein of the Company or any Subsidiary) by the Company or any Subsidiary to any Person of any of the Company’s or such Subsidiary’s respective assets.</w:t>
      </w:r>
    </w:p>
    <w:p>
      <w:pPr>
        <w:spacing w:after="0" w:line="142" w:lineRule="exact"/>
        <w:rPr>
          <w:sz w:val="20"/>
          <w:szCs w:val="20"/>
          <w:color w:val="auto"/>
        </w:rPr>
      </w:pPr>
    </w:p>
    <w:p>
      <w:pPr>
        <w:ind w:right="1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Assignment and Assumption</w:t>
      </w:r>
      <w:r>
        <w:rPr>
          <w:rFonts w:ascii="Arial" w:cs="Arial" w:eastAsia="Arial" w:hAnsi="Arial"/>
          <w:sz w:val="20"/>
          <w:szCs w:val="20"/>
          <w:color w:val="auto"/>
        </w:rPr>
        <w:t>” means an assignment and assumption entered into by a Lender and an assignee (with the consent of any party whose consent is required by Section 10.04),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-4-</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60"/>
          </w:cols>
          <w:pgMar w:left="320" w:top="1405" w:right="319" w:bottom="1440" w:gutter="0" w:footer="0" w:header="0"/>
        </w:sectPr>
      </w:pPr>
    </w:p>
    <w:bookmarkStart w:id="74" w:name="page75"/>
    <w:bookmarkEnd w:id="74"/>
    <w:p>
      <w:pPr>
        <w:spacing w:after="0"/>
        <w:rPr>
          <w:sz w:val="20"/>
          <w:szCs w:val="20"/>
          <w:color w:val="auto"/>
        </w:rPr>
      </w:pPr>
      <w:r>
        <w:rPr>
          <w:rFonts w:ascii="Arial" w:cs="Arial" w:eastAsia="Arial" w:hAnsi="Arial"/>
          <w:sz w:val="20"/>
          <w:szCs w:val="20"/>
          <w:color w:val="auto"/>
        </w:rPr>
        <w:t xml:space="preserve">by the Administrative Agent,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other form approved by the Administrative Agent.</w:t>
      </w:r>
    </w:p>
    <w:p>
      <w:pPr>
        <w:spacing w:after="0" w:line="162"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Authorized Officer</w:t>
      </w:r>
      <w:r>
        <w:rPr>
          <w:rFonts w:ascii="Arial" w:cs="Arial" w:eastAsia="Arial" w:hAnsi="Arial"/>
          <w:sz w:val="20"/>
          <w:szCs w:val="20"/>
          <w:color w:val="auto"/>
        </w:rPr>
        <w:t>” means any of the Chief Executive Officer, President, Chief Operating Officer, Executive Vice President, Senior Vice President, Vice President, Financial Officer or General Counsel of the applicable Loan Party.</w:t>
      </w:r>
    </w:p>
    <w:p>
      <w:pPr>
        <w:spacing w:after="0" w:line="128" w:lineRule="exact"/>
        <w:rPr>
          <w:sz w:val="20"/>
          <w:szCs w:val="20"/>
          <w:color w:val="auto"/>
        </w:rPr>
      </w:pPr>
    </w:p>
    <w:p>
      <w:pPr>
        <w:ind w:right="1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Availability Period</w:t>
      </w:r>
      <w:r>
        <w:rPr>
          <w:rFonts w:ascii="Arial" w:cs="Arial" w:eastAsia="Arial" w:hAnsi="Arial"/>
          <w:sz w:val="20"/>
          <w:szCs w:val="20"/>
          <w:color w:val="auto"/>
        </w:rPr>
        <w:t>” means, with respect to the Revolving Facility, the period from and including the Closing Date to but excluding the earlier of the Revolving Maturity Date and the date of termination of the Revolving Commitments.</w:t>
      </w:r>
    </w:p>
    <w:p>
      <w:pPr>
        <w:spacing w:after="0" w:line="142"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Revolving Commitment</w:t>
      </w:r>
      <w:r>
        <w:rPr>
          <w:rFonts w:ascii="Arial" w:cs="Arial" w:eastAsia="Arial" w:hAnsi="Arial"/>
          <w:sz w:val="18"/>
          <w:szCs w:val="18"/>
          <w:color w:val="auto"/>
        </w:rPr>
        <w:t xml:space="preserve">” means, as to any Revolving Lender at any time, an amount equal to the excess, if any, of (a) such Lender’s Revolving Commitment then in effect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such Lender’s Revolving Credit Exposure then outstanding; </w:t>
      </w:r>
      <w:r>
        <w:rPr>
          <w:rFonts w:ascii="Arial" w:cs="Arial" w:eastAsia="Arial" w:hAnsi="Arial"/>
          <w:sz w:val="18"/>
          <w:szCs w:val="18"/>
          <w:i w:val="1"/>
          <w:iCs w:val="1"/>
          <w:color w:val="auto"/>
        </w:rPr>
        <w:t>provided</w:t>
      </w:r>
      <w:r>
        <w:rPr>
          <w:rFonts w:ascii="Arial" w:cs="Arial" w:eastAsia="Arial" w:hAnsi="Arial"/>
          <w:sz w:val="18"/>
          <w:szCs w:val="18"/>
          <w:color w:val="auto"/>
        </w:rPr>
        <w:t>, that in calculating any Lender’s Revolving Credit Exposure for the purpose of determining such Lender’s Available Revolving Commitment pursuant to Section 2.12(a), the aggregate principal amount of Swingline Loans then outstanding shall be deemed to be zero.</w:t>
      </w:r>
    </w:p>
    <w:p>
      <w:pPr>
        <w:spacing w:after="0" w:line="144"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Action</w:t>
      </w:r>
      <w:r>
        <w:rPr>
          <w:rFonts w:ascii="Arial" w:cs="Arial" w:eastAsia="Arial" w:hAnsi="Arial"/>
          <w:sz w:val="20"/>
          <w:szCs w:val="20"/>
          <w:color w:val="auto"/>
        </w:rPr>
        <w:t xml:space="preserve">” means the exercise of any Write-Down and Conversion Powers </w:t>
      </w:r>
      <w:r>
        <w:rPr>
          <w:rFonts w:ascii="Arial" w:cs="Arial" w:eastAsia="Arial" w:hAnsi="Arial"/>
          <w:sz w:val="20"/>
          <w:szCs w:val="20"/>
          <w:color w:val="FF0000"/>
        </w:rPr>
        <w:t>by the applicable Resolution Authority in respect of</w:t>
      </w:r>
      <w:r>
        <w:rPr>
          <w:rFonts w:ascii="Arial" w:cs="Arial" w:eastAsia="Arial" w:hAnsi="Arial"/>
          <w:sz w:val="20"/>
          <w:szCs w:val="20"/>
          <w:color w:val="auto"/>
        </w:rPr>
        <w:t xml:space="preserve"> </w:t>
      </w:r>
      <w:r>
        <w:rPr>
          <w:rFonts w:ascii="Arial" w:cs="Arial" w:eastAsia="Arial" w:hAnsi="Arial"/>
          <w:sz w:val="20"/>
          <w:szCs w:val="20"/>
          <w:color w:val="FF0000"/>
          <w:strike w:val="1"/>
        </w:rPr>
        <w:t>any liability of an Affected Financial Institution</w:t>
      </w:r>
      <w:r>
        <w:rPr>
          <w:rFonts w:ascii="Arial" w:cs="Arial" w:eastAsia="Arial" w:hAnsi="Arial"/>
          <w:sz w:val="20"/>
          <w:szCs w:val="20"/>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-190500</wp:posOffset>
            </wp:positionV>
            <wp:extent cx="26377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2637790" cy="8255"/>
                    </a:xfrm>
                    <a:prstGeom prst="rect">
                      <a:avLst/>
                    </a:prstGeom>
                    <a:noFill/>
                  </pic:spPr>
                </pic:pic>
              </a:graphicData>
            </a:graphic>
          </wp:anchor>
        </w:drawing>
      </w:r>
    </w:p>
    <w:p>
      <w:pPr>
        <w:spacing w:after="0" w:line="108" w:lineRule="exact"/>
        <w:rPr>
          <w:sz w:val="20"/>
          <w:szCs w:val="20"/>
          <w:color w:val="auto"/>
        </w:rPr>
      </w:pPr>
    </w:p>
    <w:p>
      <w:pPr>
        <w:ind w:right="120"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Bail-In Legislation</w:t>
      </w:r>
      <w:r>
        <w:rPr>
          <w:rFonts w:ascii="Arial" w:cs="Arial" w:eastAsia="Arial" w:hAnsi="Arial"/>
          <w:sz w:val="19"/>
          <w:szCs w:val="19"/>
          <w:color w:val="auto"/>
        </w:rPr>
        <w:t xml:space="preserve">” means (a) with respect to any EEA Member Country </w:t>
      </w:r>
      <w:r>
        <w:rPr>
          <w:rFonts w:ascii="Arial" w:cs="Arial" w:eastAsia="Arial" w:hAnsi="Arial"/>
          <w:sz w:val="19"/>
          <w:szCs w:val="19"/>
          <w:color w:val="FF0000"/>
          <w:strike w:val="1"/>
        </w:rPr>
        <w:t>implementing</w:t>
      </w:r>
      <w:r>
        <w:rPr>
          <w:rFonts w:ascii="Arial" w:cs="Arial" w:eastAsia="Arial" w:hAnsi="Arial"/>
          <w:sz w:val="19"/>
          <w:szCs w:val="19"/>
          <w:u w:val="single" w:color="auto"/>
          <w:color w:val="0000FF"/>
        </w:rPr>
        <w:t>which has implemented, or which at any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time implements,</w:t>
      </w:r>
      <w:r>
        <w:rPr>
          <w:rFonts w:ascii="Arial" w:cs="Arial" w:eastAsia="Arial" w:hAnsi="Arial"/>
          <w:sz w:val="19"/>
          <w:szCs w:val="19"/>
          <w:color w:val="0000FF"/>
        </w:rPr>
        <w:t xml:space="preserve"> </w:t>
      </w:r>
      <w:r>
        <w:rPr>
          <w:rFonts w:ascii="Arial" w:cs="Arial" w:eastAsia="Arial" w:hAnsi="Arial"/>
          <w:sz w:val="19"/>
          <w:szCs w:val="19"/>
          <w:color w:val="000000"/>
        </w:rPr>
        <w:t>Article 55</w:t>
      </w:r>
      <w:r>
        <w:rPr>
          <w:rFonts w:ascii="Arial" w:cs="Arial" w:eastAsia="Arial" w:hAnsi="Arial"/>
          <w:sz w:val="19"/>
          <w:szCs w:val="19"/>
          <w:color w:val="0000FF"/>
        </w:rPr>
        <w:t xml:space="preserve"> </w:t>
      </w:r>
      <w:r>
        <w:rPr>
          <w:rFonts w:ascii="Arial" w:cs="Arial" w:eastAsia="Arial" w:hAnsi="Arial"/>
          <w:sz w:val="19"/>
          <w:szCs w:val="19"/>
          <w:color w:val="FF0000"/>
          <w:strike w:val="1"/>
        </w:rPr>
        <w:t>of Directive 2014/59/EU of the European Parliament and of the Council of the European Union</w:t>
      </w:r>
      <w:r>
        <w:rPr>
          <w:rFonts w:ascii="Arial" w:cs="Arial" w:eastAsia="Arial" w:hAnsi="Arial"/>
          <w:sz w:val="19"/>
          <w:szCs w:val="19"/>
          <w:u w:val="single" w:color="auto"/>
          <w:color w:val="0000FF"/>
        </w:rPr>
        <w:t>BRRD</w:t>
      </w:r>
      <w:r>
        <w:rPr>
          <w:rFonts w:ascii="Arial" w:cs="Arial" w:eastAsia="Arial" w:hAnsi="Arial"/>
          <w:sz w:val="19"/>
          <w:szCs w:val="19"/>
          <w:color w:val="000000"/>
        </w:rPr>
        <w:t>, the</w:t>
      </w:r>
      <w:r>
        <w:rPr>
          <w:rFonts w:ascii="Arial" w:cs="Arial" w:eastAsia="Arial" w:hAnsi="Arial"/>
          <w:sz w:val="19"/>
          <w:szCs w:val="19"/>
          <w:color w:val="0000FF"/>
        </w:rPr>
        <w:t xml:space="preserve"> </w:t>
      </w:r>
      <w:r>
        <w:rPr>
          <w:rFonts w:ascii="Arial" w:cs="Arial" w:eastAsia="Arial" w:hAnsi="Arial"/>
          <w:sz w:val="19"/>
          <w:szCs w:val="19"/>
          <w:color w:val="000000"/>
        </w:rPr>
        <w:t xml:space="preserve">implementing law, regulation, rule or requirement for such EEA Member Country from time to time which is described in the EU Bail-In Legislation Schedule </w:t>
      </w:r>
      <w:r>
        <w:rPr>
          <w:rFonts w:ascii="Arial" w:cs="Arial" w:eastAsia="Arial" w:hAnsi="Arial"/>
          <w:sz w:val="19"/>
          <w:szCs w:val="19"/>
          <w:u w:val="single" w:color="auto"/>
          <w:color w:val="0000FF"/>
        </w:rPr>
        <w:t>from time to time</w:t>
      </w:r>
      <w:r>
        <w:rPr>
          <w:rFonts w:ascii="Arial" w:cs="Arial" w:eastAsia="Arial" w:hAnsi="Arial"/>
          <w:sz w:val="19"/>
          <w:szCs w:val="19"/>
          <w:color w:val="000000"/>
        </w:rPr>
        <w:t xml:space="preserve"> and (b) </w:t>
      </w:r>
      <w:r>
        <w:rPr>
          <w:rFonts w:ascii="Arial" w:cs="Arial" w:eastAsia="Arial" w:hAnsi="Arial"/>
          <w:sz w:val="19"/>
          <w:szCs w:val="19"/>
          <w:color w:val="FF0000"/>
          <w:strike w:val="1"/>
        </w:rPr>
        <w:t>with respect</w:t>
      </w:r>
      <w:r>
        <w:rPr>
          <w:rFonts w:ascii="Arial" w:cs="Arial" w:eastAsia="Arial" w:hAnsi="Arial"/>
          <w:sz w:val="19"/>
          <w:szCs w:val="19"/>
          <w:u w:val="single" w:color="auto"/>
          <w:color w:val="0000FF"/>
        </w:rPr>
        <w:t>in relation</w:t>
      </w:r>
      <w:r>
        <w:rPr>
          <w:rFonts w:ascii="Arial" w:cs="Arial" w:eastAsia="Arial" w:hAnsi="Arial"/>
          <w:sz w:val="19"/>
          <w:szCs w:val="19"/>
          <w:color w:val="000000"/>
        </w:rPr>
        <w:t xml:space="preserve"> to the United Kingdom, </w:t>
      </w:r>
      <w:r>
        <w:rPr>
          <w:rFonts w:ascii="Arial" w:cs="Arial" w:eastAsia="Arial" w:hAnsi="Arial"/>
          <w:sz w:val="19"/>
          <w:szCs w:val="19"/>
          <w:color w:val="FF0000"/>
          <w:strike w:val="1"/>
        </w:rPr>
        <w:t>Part I of</w:t>
      </w:r>
      <w:r>
        <w:rPr>
          <w:rFonts w:ascii="Arial" w:cs="Arial" w:eastAsia="Arial" w:hAnsi="Arial"/>
          <w:sz w:val="19"/>
          <w:szCs w:val="19"/>
          <w:u w:val="single" w:color="auto"/>
          <w:color w:val="0000FF"/>
        </w:rPr>
        <w:t>the UK Bail-In Legislation and (c) in</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relation to any state other than such an EEA Member Country and</w:t>
      </w:r>
      <w:r>
        <w:rPr>
          <w:rFonts w:ascii="Arial" w:cs="Arial" w:eastAsia="Arial" w:hAnsi="Arial"/>
          <w:sz w:val="19"/>
          <w:szCs w:val="19"/>
          <w:color w:val="0000FF"/>
        </w:rPr>
        <w:t xml:space="preserve"> </w:t>
      </w:r>
      <w:r>
        <w:rPr>
          <w:rFonts w:ascii="Arial" w:cs="Arial" w:eastAsia="Arial" w:hAnsi="Arial"/>
          <w:sz w:val="19"/>
          <w:szCs w:val="19"/>
          <w:color w:val="000000"/>
        </w:rPr>
        <w:t>the United Kingdom</w:t>
      </w:r>
      <w:r>
        <w:rPr>
          <w:rFonts w:ascii="Arial" w:cs="Arial" w:eastAsia="Arial" w:hAnsi="Arial"/>
          <w:sz w:val="19"/>
          <w:szCs w:val="19"/>
          <w:color w:val="0000FF"/>
        </w:rPr>
        <w:t xml:space="preserve"> </w:t>
      </w:r>
      <w:r>
        <w:rPr>
          <w:rFonts w:ascii="Arial" w:cs="Arial" w:eastAsia="Arial" w:hAnsi="Arial"/>
          <w:sz w:val="19"/>
          <w:szCs w:val="19"/>
          <w:color w:val="FF0000"/>
          <w:strike w:val="1"/>
        </w:rPr>
        <w:t>Banking Act 2009 (as amended</w:t>
      </w:r>
      <w:r>
        <w:rPr>
          <w:rFonts w:ascii="Arial" w:cs="Arial" w:eastAsia="Arial" w:hAnsi="Arial"/>
          <w:sz w:val="19"/>
          <w:szCs w:val="19"/>
          <w:u w:val="single" w:color="auto"/>
          <w:color w:val="0000FF"/>
        </w:rPr>
        <w:t>, any analogous law</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or regulation</w:t>
      </w:r>
      <w:r>
        <w:rPr>
          <w:rFonts w:ascii="Arial" w:cs="Arial" w:eastAsia="Arial" w:hAnsi="Arial"/>
          <w:sz w:val="19"/>
          <w:szCs w:val="19"/>
          <w:color w:val="0000FF"/>
        </w:rPr>
        <w:t xml:space="preserve"> </w:t>
      </w:r>
      <w:r>
        <w:rPr>
          <w:rFonts w:ascii="Arial" w:cs="Arial" w:eastAsia="Arial" w:hAnsi="Arial"/>
          <w:sz w:val="19"/>
          <w:szCs w:val="19"/>
          <w:color w:val="000000"/>
        </w:rPr>
        <w:t>from time to time</w:t>
      </w:r>
      <w:r>
        <w:rPr>
          <w:rFonts w:ascii="Arial" w:cs="Arial" w:eastAsia="Arial" w:hAnsi="Arial"/>
          <w:sz w:val="19"/>
          <w:szCs w:val="19"/>
          <w:color w:val="FF0000"/>
          <w:strike w:val="1"/>
        </w:rPr>
        <w:t>) and any other law, regulation or rule</w:t>
      </w:r>
      <w:r>
        <w:rPr>
          <w:rFonts w:ascii="Arial" w:cs="Arial" w:eastAsia="Arial" w:hAnsi="Arial"/>
          <w:sz w:val="19"/>
          <w:szCs w:val="19"/>
          <w:color w:val="0000FF"/>
        </w:rPr>
        <w:t xml:space="preserve"> </w:t>
      </w:r>
      <w:r>
        <w:rPr>
          <w:rFonts w:ascii="Arial" w:cs="Arial" w:eastAsia="Arial" w:hAnsi="Arial"/>
          <w:sz w:val="19"/>
          <w:szCs w:val="19"/>
          <w:color w:val="E36C0A"/>
          <w:strike w:val="1"/>
        </w:rPr>
        <w:t>applicable in the United Kingdom relating to the resolution of unsound</w:t>
      </w:r>
      <w:r>
        <w:rPr>
          <w:rFonts w:ascii="Arial" w:cs="Arial" w:eastAsia="Arial" w:hAnsi="Arial"/>
          <w:sz w:val="19"/>
          <w:szCs w:val="19"/>
          <w:color w:val="0000FF"/>
        </w:rPr>
        <w:t xml:space="preserve"> </w:t>
      </w:r>
      <w:r>
        <w:rPr>
          <w:rFonts w:ascii="Arial" w:cs="Arial" w:eastAsia="Arial" w:hAnsi="Arial"/>
          <w:sz w:val="19"/>
          <w:szCs w:val="19"/>
          <w:color w:val="E36C0A"/>
          <w:strike w:val="1"/>
        </w:rPr>
        <w:t>or failing banks, investment firms or other financial institutions or their affiliates (</w:t>
      </w:r>
      <w:r>
        <w:rPr>
          <w:rFonts w:ascii="Arial" w:cs="Arial" w:eastAsia="Arial" w:hAnsi="Arial"/>
          <w:sz w:val="19"/>
          <w:szCs w:val="19"/>
          <w:color w:val="FF0000"/>
          <w:strike w:val="1"/>
        </w:rPr>
        <w:t>other</w:t>
      </w:r>
      <w:r>
        <w:rPr>
          <w:rFonts w:ascii="Arial" w:cs="Arial" w:eastAsia="Arial" w:hAnsi="Arial"/>
          <w:sz w:val="19"/>
          <w:szCs w:val="19"/>
          <w:color w:val="E36C0A"/>
          <w:strike w:val="1"/>
        </w:rPr>
        <w:t xml:space="preserve"> than through liquidation, administration or other insolvency proceedings).</w:t>
      </w:r>
      <w:r>
        <w:rPr>
          <w:rFonts w:ascii="Arial" w:cs="Arial" w:eastAsia="Arial" w:hAnsi="Arial"/>
          <w:sz w:val="19"/>
          <w:szCs w:val="19"/>
          <w:u w:val="single" w:color="auto"/>
          <w:color w:val="0000FF"/>
          <w:strike w:val="1"/>
        </w:rPr>
        <w:t>which requires contractual recognition of any Write-Down and Conversion Powers contained in that law or</w:t>
      </w:r>
      <w:r>
        <w:rPr>
          <w:rFonts w:ascii="Arial" w:cs="Arial" w:eastAsia="Arial" w:hAnsi="Arial"/>
          <w:sz w:val="19"/>
          <w:szCs w:val="19"/>
          <w:color w:val="E36C0A"/>
          <w:strike w:val="1"/>
        </w:rPr>
        <w:t xml:space="preserve"> </w:t>
      </w:r>
      <w:r>
        <w:rPr>
          <w:rFonts w:ascii="Arial" w:cs="Arial" w:eastAsia="Arial" w:hAnsi="Arial"/>
          <w:sz w:val="19"/>
          <w:szCs w:val="19"/>
          <w:u w:val="single" w:color="auto"/>
          <w:color w:val="0000FF"/>
          <w:strike w:val="1"/>
        </w:rPr>
        <w:t>regulation</w:t>
      </w:r>
      <w:r>
        <w:rPr>
          <w:rFonts w:ascii="Arial" w:cs="Arial" w:eastAsia="Arial" w:hAnsi="Arial"/>
          <w:sz w:val="19"/>
          <w:szCs w:val="19"/>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-669925</wp:posOffset>
            </wp:positionV>
            <wp:extent cx="311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22" w:lineRule="exact"/>
        <w:rPr>
          <w:sz w:val="20"/>
          <w:szCs w:val="20"/>
          <w:color w:val="auto"/>
        </w:rPr>
      </w:pPr>
    </w:p>
    <w:p>
      <w:pPr>
        <w:ind w:right="100" w:firstLine="648"/>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w:t>
      </w:r>
      <w:r>
        <w:rPr>
          <w:rFonts w:ascii="Arial" w:cs="Arial" w:eastAsia="Arial" w:hAnsi="Arial"/>
          <w:sz w:val="19"/>
          <w:szCs w:val="19"/>
          <w:u w:val="single" w:color="auto"/>
          <w:color w:val="0000FF"/>
        </w:rPr>
        <w:t>administrative receiver, compulsory manager, monitor,</w:t>
      </w:r>
      <w:r>
        <w:rPr>
          <w:rFonts w:ascii="Arial" w:cs="Arial" w:eastAsia="Arial" w:hAnsi="Arial"/>
          <w:sz w:val="19"/>
          <w:szCs w:val="19"/>
          <w:color w:val="auto"/>
        </w:rPr>
        <w:t xml:space="preserve"> custodian, assignee for the benefit of creditors or similar Person charged with the reorganization</w:t>
      </w:r>
      <w:r>
        <w:rPr>
          <w:rFonts w:ascii="Arial" w:cs="Arial" w:eastAsia="Arial" w:hAnsi="Arial"/>
          <w:sz w:val="19"/>
          <w:szCs w:val="19"/>
          <w:u w:val="single" w:color="auto"/>
          <w:color w:val="0000FF"/>
        </w:rPr>
        <w:t>, winding up, dissolution, restructuring, restructuring plan, adjustments,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protection, relief, composition</w:t>
      </w:r>
      <w:r>
        <w:rPr>
          <w:rFonts w:ascii="Arial" w:cs="Arial" w:eastAsia="Arial" w:hAnsi="Arial"/>
          <w:sz w:val="19"/>
          <w:szCs w:val="19"/>
          <w:color w:val="0000FF"/>
        </w:rPr>
        <w:t xml:space="preserve"> </w:t>
      </w:r>
      <w:r>
        <w:rPr>
          <w:rFonts w:ascii="Arial" w:cs="Arial" w:eastAsia="Arial" w:hAnsi="Arial"/>
          <w:sz w:val="19"/>
          <w:szCs w:val="19"/>
          <w:color w:val="000000"/>
        </w:rPr>
        <w:t>or liquidation of its business appointed for it, or, in the good faith determination of the Administrative Agent,</w:t>
      </w:r>
      <w:r>
        <w:rPr>
          <w:rFonts w:ascii="Arial" w:cs="Arial" w:eastAsia="Arial" w:hAnsi="Arial"/>
          <w:sz w:val="19"/>
          <w:szCs w:val="19"/>
          <w:color w:val="0000FF"/>
        </w:rPr>
        <w:t xml:space="preserve"> </w:t>
      </w:r>
      <w:r>
        <w:rPr>
          <w:rFonts w:ascii="Arial" w:cs="Arial" w:eastAsia="Arial" w:hAnsi="Arial"/>
          <w:sz w:val="19"/>
          <w:szCs w:val="19"/>
          <w:color w:val="000000"/>
        </w:rPr>
        <w:t xml:space="preserve">has taken any action in furtherance of, or indicating its consent to, approval of, or acquiescence in, any such proceeding or appointment, </w:t>
      </w:r>
      <w:r>
        <w:rPr>
          <w:rFonts w:ascii="Arial" w:cs="Arial" w:eastAsia="Arial" w:hAnsi="Arial"/>
          <w:sz w:val="19"/>
          <w:szCs w:val="19"/>
          <w:i w:val="1"/>
          <w:iCs w:val="1"/>
          <w:color w:val="000000"/>
        </w:rPr>
        <w:t xml:space="preserve">provided </w:t>
      </w:r>
      <w:r>
        <w:rPr>
          <w:rFonts w:ascii="Arial" w:cs="Arial" w:eastAsia="Arial" w:hAnsi="Arial"/>
          <w:sz w:val="19"/>
          <w:szCs w:val="19"/>
          <w:color w:val="000000"/>
        </w:rPr>
        <w:t>that a Bankruptcy Event shall not result solely by virtue of any ownership interest, or the acquisition of any ownership interest, in</w:t>
      </w:r>
      <w:r>
        <w:rPr>
          <w:rFonts w:ascii="Arial" w:cs="Arial" w:eastAsia="Arial" w:hAnsi="Arial"/>
          <w:sz w:val="19"/>
          <w:szCs w:val="19"/>
          <w:i w:val="1"/>
          <w:iCs w:val="1"/>
          <w:color w:val="000000"/>
        </w:rPr>
        <w:t xml:space="preserve"> </w:t>
      </w:r>
      <w:r>
        <w:rPr>
          <w:rFonts w:ascii="Arial" w:cs="Arial" w:eastAsia="Arial" w:hAnsi="Arial"/>
          <w:sz w:val="19"/>
          <w:szCs w:val="19"/>
          <w:color w:val="000000"/>
        </w:rPr>
        <w:t xml:space="preserve">such Person by a Governmental Authority or instrumentality thereof,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further</w:t>
      </w:r>
      <w:r>
        <w:rPr>
          <w:rFonts w:ascii="Arial" w:cs="Arial" w:eastAsia="Arial" w:hAnsi="Arial"/>
          <w:sz w:val="19"/>
          <w:szCs w:val="19"/>
          <w:color w:val="000000"/>
        </w:rPr>
        <w:t>, that such ownership interest does not result in or provide such Person with immunity from the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-5-</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75" w:name="page76"/>
    <w:bookmarkEnd w:id="75"/>
    <w:p>
      <w:pPr>
        <w:spacing w:after="0"/>
        <w:rPr>
          <w:sz w:val="20"/>
          <w:szCs w:val="20"/>
          <w:color w:val="auto"/>
        </w:rPr>
      </w:pPr>
      <w:r>
        <w:rPr>
          <w:rFonts w:ascii="Arial" w:cs="Arial" w:eastAsia="Arial" w:hAnsi="Arial"/>
          <w:sz w:val="20"/>
          <w:szCs w:val="20"/>
          <w:color w:val="auto"/>
        </w:rPr>
        <w:t>good faith after 10:00 a.m. (Toronto time) to reflect any error in a posted rate or in the posted average annual rate).</w:t>
      </w:r>
    </w:p>
    <w:p>
      <w:pPr>
        <w:spacing w:after="0" w:line="162" w:lineRule="exact"/>
        <w:rPr>
          <w:sz w:val="20"/>
          <w:szCs w:val="20"/>
          <w:color w:val="auto"/>
        </w:rPr>
      </w:pPr>
    </w:p>
    <w:p>
      <w:pPr>
        <w:ind w:right="16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the acquisition of ownership or voting control, directly or indirectly, beneficially or of record, on or after the Closing Date, by any person or group (within the meaning of Rule 13d-3 of the SEC under the Securities Exchange Act of 1934, as then in effect), of shares representing more than 35% of the aggregate ordinary Voting Power represented by the issued and outstanding capital stock of the Company.</w:t>
      </w:r>
    </w:p>
    <w:p>
      <w:pPr>
        <w:spacing w:after="0" w:line="129" w:lineRule="exact"/>
        <w:rPr>
          <w:sz w:val="20"/>
          <w:szCs w:val="20"/>
          <w:color w:val="auto"/>
        </w:rPr>
      </w:pPr>
    </w:p>
    <w:p>
      <w:pPr>
        <w:ind w:right="280"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xml:space="preserve">” </w:t>
      </w:r>
      <w:r>
        <w:rPr>
          <w:rFonts w:ascii="Arial" w:cs="Arial" w:eastAsia="Arial" w:hAnsi="Arial"/>
          <w:sz w:val="18"/>
          <w:szCs w:val="18"/>
          <w:u w:val="single" w:color="auto"/>
          <w:color w:val="0000FF"/>
        </w:rPr>
        <w:t>means</w:t>
      </w:r>
      <w:r>
        <w:rPr>
          <w:rFonts w:ascii="Arial" w:cs="Arial" w:eastAsia="Arial" w:hAnsi="Arial"/>
          <w:sz w:val="18"/>
          <w:szCs w:val="18"/>
          <w:color w:val="auto"/>
        </w:rPr>
        <w:t xml:space="preserve">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interpretation or application thereof by any Governmental Authority or</w:t>
      </w:r>
    </w:p>
    <w:p>
      <w:pPr>
        <w:spacing w:after="0" w:line="1" w:lineRule="exact"/>
        <w:rPr>
          <w:sz w:val="20"/>
          <w:szCs w:val="20"/>
          <w:color w:val="auto"/>
        </w:rPr>
      </w:pPr>
    </w:p>
    <w:p>
      <w:pPr>
        <w:ind w:right="120" w:firstLine="8"/>
        <w:spacing w:after="0" w:line="219" w:lineRule="auto"/>
        <w:tabs>
          <w:tab w:leader="none" w:pos="2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compliance by any Lender or the Issuing Bank (or, for purposes of Section 2.15(b), by any lending office of such Lender or by such Lender’s or the Issuing Bank’s holding company, if any) with any request, guideline or directive (whether or not having the force of law) of any Governmental Authority made or issued after the date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w:t>
      </w:r>
    </w:p>
    <w:p>
      <w:pPr>
        <w:ind w:right="100" w:firstLine="8"/>
        <w:spacing w:after="0" w:line="232"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regardless of the date enacted, adopted or issued.</w:t>
      </w:r>
    </w:p>
    <w:p>
      <w:pPr>
        <w:spacing w:after="0" w:line="142" w:lineRule="exact"/>
        <w:rPr>
          <w:sz w:val="20"/>
          <w:szCs w:val="20"/>
          <w:color w:val="auto"/>
        </w:rPr>
      </w:pPr>
    </w:p>
    <w:p>
      <w:pPr>
        <w:ind w:right="2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Class</w:t>
      </w:r>
      <w:r>
        <w:rPr>
          <w:rFonts w:ascii="Arial" w:cs="Arial" w:eastAsia="Arial" w:hAnsi="Arial"/>
          <w:sz w:val="20"/>
          <w:szCs w:val="20"/>
          <w:color w:val="auto"/>
        </w:rPr>
        <w:t>”, when used in reference to any Loan or Borrowing, refers to whether such Loan, or the Loans comprising such Borrowing, are Revolving Loans, Term Loans or Swingline Loans.</w:t>
      </w:r>
    </w:p>
    <w:p>
      <w:pPr>
        <w:spacing w:after="0" w:line="142" w:lineRule="exact"/>
        <w:rPr>
          <w:sz w:val="20"/>
          <w:szCs w:val="20"/>
          <w:color w:val="auto"/>
        </w:rPr>
      </w:pPr>
    </w:p>
    <w:p>
      <w:pPr>
        <w:ind w:right="7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means the date on which the conditions specified in Section 4.01 are satisfied (or waived in accordance with Section 10.02).</w:t>
      </w:r>
    </w:p>
    <w:p>
      <w:pPr>
        <w:spacing w:after="0" w:line="128" w:lineRule="exact"/>
        <w:rPr>
          <w:sz w:val="20"/>
          <w:szCs w:val="20"/>
          <w:color w:val="auto"/>
        </w:rPr>
      </w:pPr>
    </w:p>
    <w:p>
      <w:pPr>
        <w:ind w:right="3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 Revolver Prepayment Amount</w:t>
      </w:r>
      <w:r>
        <w:rPr>
          <w:rFonts w:ascii="Arial" w:cs="Arial" w:eastAsia="Arial" w:hAnsi="Arial"/>
          <w:sz w:val="20"/>
          <w:szCs w:val="20"/>
          <w:color w:val="auto"/>
        </w:rPr>
        <w:t xml:space="preserve">” means an amount equal to the initial aggregate amount of the Lenders’ Revolving Commitments </w:t>
      </w:r>
      <w:r>
        <w:rPr>
          <w:rFonts w:ascii="Arial" w:cs="Arial" w:eastAsia="Arial" w:hAnsi="Arial"/>
          <w:sz w:val="20"/>
          <w:szCs w:val="20"/>
          <w:i w:val="1"/>
          <w:iCs w:val="1"/>
          <w:color w:val="auto"/>
        </w:rPr>
        <w:t>minus</w:t>
      </w:r>
      <w:r>
        <w:rPr>
          <w:rFonts w:ascii="Arial" w:cs="Arial" w:eastAsia="Arial" w:hAnsi="Arial"/>
          <w:sz w:val="20"/>
          <w:szCs w:val="20"/>
          <w:color w:val="auto"/>
        </w:rPr>
        <w:t xml:space="preserve"> $1,000,000,000.</w:t>
      </w:r>
    </w:p>
    <w:p>
      <w:pPr>
        <w:spacing w:after="0" w:line="142" w:lineRule="exact"/>
        <w:rPr>
          <w:sz w:val="20"/>
          <w:szCs w:val="20"/>
          <w:color w:val="auto"/>
        </w:rPr>
      </w:pPr>
    </w:p>
    <w:p>
      <w:pPr>
        <w:ind w:right="5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Fee Letter</w:t>
      </w:r>
      <w:r>
        <w:rPr>
          <w:rFonts w:ascii="Arial" w:cs="Arial" w:eastAsia="Arial" w:hAnsi="Arial"/>
          <w:sz w:val="20"/>
          <w:szCs w:val="20"/>
          <w:color w:val="auto"/>
        </w:rPr>
        <w:t>” means the Closing Fee Letter, dated as of the Closing Date, among the Borrowers and the Administrative Agent, for the benefit of the Lenders.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p>
      <w:pPr>
        <w:spacing w:after="0" w:line="148" w:lineRule="exact"/>
        <w:rPr>
          <w:sz w:val="20"/>
          <w:szCs w:val="20"/>
          <w:color w:val="auto"/>
        </w:rPr>
      </w:pPr>
    </w:p>
    <w:p>
      <w:pPr>
        <w:ind w:right="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w:t>
      </w:r>
      <w:r>
        <w:rPr>
          <w:rFonts w:ascii="Arial" w:cs="Arial" w:eastAsia="Arial" w:hAnsi="Arial"/>
          <w:sz w:val="20"/>
          <w:szCs w:val="20"/>
          <w:color w:val="auto"/>
        </w:rPr>
        <w:t>” means, with respect to each Lender, its Revolving Commitment and/or its Term Loan Commitment, as the context may require.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 Fee Rate</w:t>
      </w:r>
      <w:r>
        <w:rPr>
          <w:rFonts w:ascii="Arial" w:cs="Arial" w:eastAsia="Arial" w:hAnsi="Arial"/>
          <w:sz w:val="20"/>
          <w:szCs w:val="20"/>
          <w:color w:val="auto"/>
        </w:rPr>
        <w:t>” means, as of any date of determination:</w:t>
      </w:r>
    </w:p>
    <w:p>
      <w:pPr>
        <w:spacing w:after="0" w:line="162" w:lineRule="exact"/>
        <w:rPr>
          <w:sz w:val="20"/>
          <w:szCs w:val="20"/>
          <w:color w:val="auto"/>
        </w:rPr>
      </w:pPr>
    </w:p>
    <w:p>
      <w:pPr>
        <w:ind w:right="360" w:firstLine="656"/>
        <w:spacing w:after="0" w:line="229" w:lineRule="auto"/>
        <w:tabs>
          <w:tab w:leader="none" w:pos="1286" w:val="left"/>
        </w:tabs>
        <w:numPr>
          <w:ilvl w:val="0"/>
          <w:numId w:val="47"/>
        </w:numPr>
        <w:rPr>
          <w:rFonts w:ascii="Arial" w:cs="Arial" w:eastAsia="Arial" w:hAnsi="Arial"/>
          <w:sz w:val="20"/>
          <w:szCs w:val="20"/>
          <w:color w:val="auto"/>
        </w:rPr>
      </w:pPr>
      <w:r>
        <w:rPr>
          <w:rFonts w:ascii="Arial" w:cs="Arial" w:eastAsia="Arial" w:hAnsi="Arial"/>
          <w:sz w:val="20"/>
          <w:szCs w:val="20"/>
          <w:color w:val="auto"/>
        </w:rPr>
        <w:t>on the Closing Date and thereafter until changed in accordance with the provisions set forth in this definition, the rate per annum applicable to Level II in the table set forth below; and</w:t>
      </w:r>
    </w:p>
    <w:p>
      <w:pPr>
        <w:spacing w:after="0" w:line="126" w:lineRule="exact"/>
        <w:rPr>
          <w:rFonts w:ascii="Arial" w:cs="Arial" w:eastAsia="Arial" w:hAnsi="Arial"/>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commencing on the date on which a Compliance Certificate is delivered with respect to the fiscal quarter ending April 30,</w:t>
      </w:r>
    </w:p>
    <w:p>
      <w:pPr>
        <w:spacing w:after="0"/>
        <w:rPr>
          <w:rFonts w:ascii="Arial" w:cs="Arial" w:eastAsia="Arial" w:hAnsi="Arial"/>
          <w:sz w:val="18"/>
          <w:szCs w:val="18"/>
          <w:color w:val="auto"/>
        </w:rPr>
      </w:pPr>
      <w:r>
        <w:rPr>
          <w:rFonts w:ascii="Arial" w:cs="Arial" w:eastAsia="Arial" w:hAnsi="Arial"/>
          <w:sz w:val="19"/>
          <w:szCs w:val="19"/>
          <w:color w:val="auto"/>
        </w:rPr>
        <w:t>2020 and continuing with each fiscal quarter thereafter, a rate per annum determined in accordance with the table set forth below:</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6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20"/>
                <w:szCs w:val="20"/>
                <w:b w:val="1"/>
                <w:bCs w:val="1"/>
                <w:color w:val="auto"/>
              </w:rPr>
              <w:t>Ratio Level</w:t>
            </w:r>
          </w:p>
        </w:tc>
        <w:tc>
          <w:tcPr>
            <w:tcW w:w="3740" w:type="dxa"/>
            <w:vAlign w:val="bottom"/>
            <w:tcBorders>
              <w:top w:val="single" w:sz="8" w:color="auto"/>
              <w:bottom w:val="single" w:sz="8" w:color="auto"/>
              <w:right w:val="single" w:sz="8" w:color="auto"/>
            </w:tcBorders>
          </w:tcPr>
          <w:p>
            <w:pPr>
              <w:ind w:left="980"/>
              <w:spacing w:after="0"/>
              <w:rPr>
                <w:sz w:val="20"/>
                <w:szCs w:val="20"/>
                <w:color w:val="auto"/>
              </w:rPr>
            </w:pPr>
            <w:r>
              <w:rPr>
                <w:rFonts w:ascii="Arial" w:cs="Arial" w:eastAsia="Arial" w:hAnsi="Arial"/>
                <w:sz w:val="20"/>
                <w:szCs w:val="20"/>
                <w:b w:val="1"/>
                <w:bCs w:val="1"/>
                <w:color w:val="auto"/>
              </w:rPr>
              <w:t>Total Leverage Ratio</w:t>
            </w:r>
          </w:p>
        </w:tc>
        <w:tc>
          <w:tcPr>
            <w:tcW w:w="37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20"/>
                <w:szCs w:val="20"/>
                <w:b w:val="1"/>
                <w:bCs w:val="1"/>
                <w:color w:val="auto"/>
              </w:rPr>
              <w:t>Commitment Fee Rate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-7-</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60"/>
          </w:cols>
          <w:pgMar w:left="320" w:top="1405" w:right="319" w:bottom="1440" w:gutter="0" w:footer="0" w:header="0"/>
        </w:sectPr>
      </w:pPr>
    </w:p>
    <w:bookmarkStart w:id="76" w:name="page77"/>
    <w:bookmarkEnd w:id="76"/>
    <w:p>
      <w:pPr>
        <w:ind w:right="140"/>
        <w:spacing w:after="0" w:line="207" w:lineRule="auto"/>
        <w:rPr>
          <w:sz w:val="20"/>
          <w:szCs w:val="20"/>
          <w:color w:val="auto"/>
        </w:rPr>
      </w:pPr>
      <w:r>
        <w:rPr>
          <w:rFonts w:ascii="Arial" w:cs="Arial" w:eastAsia="Arial" w:hAnsi="Arial"/>
          <w:sz w:val="20"/>
          <w:szCs w:val="20"/>
          <w:color w:val="auto"/>
        </w:rPr>
        <w:t xml:space="preserve">Closing Date, as such list may be supplemented after the Closing Date by the Company from time to time as reasonably agreed by the Administrative Agent, it being agreed that any successor-in-interest to any Competitor shall be deemed to be reasonably agreed to by the Administrative Agent. Any such supplement to the list of Competitors after the Closing Date will become effective two Business Days after such supplement is delivered to the Administrative Agent. </w:t>
      </w:r>
      <w:r>
        <w:rPr>
          <w:rFonts w:ascii="Arial" w:cs="Arial" w:eastAsia="Arial" w:hAnsi="Arial"/>
          <w:sz w:val="20"/>
          <w:szCs w:val="20"/>
          <w:u w:val="single" w:color="auto"/>
          <w:color w:val="0000FF"/>
        </w:rPr>
        <w:t>The list of such Persons submitted to the Administrative Agent shall be made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available to the Lenders upon request.</w:t>
      </w:r>
      <w:r>
        <w:rPr>
          <w:rFonts w:ascii="Arial" w:cs="Arial" w:eastAsia="Arial" w:hAnsi="Arial"/>
          <w:sz w:val="20"/>
          <w:szCs w:val="20"/>
          <w:color w:val="0000FF"/>
        </w:rPr>
        <w:t xml:space="preserve"> </w:t>
      </w:r>
      <w:r>
        <w:rPr>
          <w:rFonts w:ascii="Arial" w:cs="Arial" w:eastAsia="Arial" w:hAnsi="Arial"/>
          <w:sz w:val="20"/>
          <w:szCs w:val="20"/>
          <w:color w:val="000000"/>
        </w:rPr>
        <w:t>In no event shall a supplement apply retroactively to disqualify any Lender as of the date of such</w:t>
      </w:r>
      <w:r>
        <w:rPr>
          <w:rFonts w:ascii="Arial" w:cs="Arial" w:eastAsia="Arial" w:hAnsi="Arial"/>
          <w:sz w:val="20"/>
          <w:szCs w:val="20"/>
          <w:color w:val="0000FF"/>
        </w:rPr>
        <w:t xml:space="preserve"> </w:t>
      </w:r>
      <w:r>
        <w:rPr>
          <w:rFonts w:ascii="Arial" w:cs="Arial" w:eastAsia="Arial" w:hAnsi="Arial"/>
          <w:sz w:val="20"/>
          <w:szCs w:val="20"/>
          <w:color w:val="000000"/>
        </w:rPr>
        <w:t>supplement.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Compliance Certificate</w:t>
      </w:r>
      <w:r>
        <w:rPr>
          <w:rFonts w:ascii="Arial" w:cs="Arial" w:eastAsia="Arial" w:hAnsi="Arial"/>
          <w:sz w:val="20"/>
          <w:szCs w:val="20"/>
          <w:color w:val="auto"/>
        </w:rPr>
        <w:t>” has the meaning assigned to such term in Section 5.01(c).</w:t>
      </w:r>
    </w:p>
    <w:p>
      <w:pPr>
        <w:spacing w:after="0" w:line="148"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42" w:lineRule="exact"/>
        <w:rPr>
          <w:sz w:val="20"/>
          <w:szCs w:val="20"/>
          <w:color w:val="auto"/>
        </w:rPr>
      </w:pPr>
    </w:p>
    <w:p>
      <w:pPr>
        <w:ind w:right="240" w:firstLine="648"/>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Depreciation and Amortization Expense</w:t>
      </w:r>
      <w:r>
        <w:rPr>
          <w:rFonts w:ascii="Arial" w:cs="Arial" w:eastAsia="Arial" w:hAnsi="Arial"/>
          <w:sz w:val="16"/>
          <w:szCs w:val="16"/>
          <w:color w:val="auto"/>
        </w:rPr>
        <w:t>” means, for any period, all depreciation and amortization expenses of the Company and its Subsidiaries, all as determined for the Company and its Subsidiaries on a consolidated basis in accordance with GAAP.</w:t>
      </w:r>
    </w:p>
    <w:p>
      <w:pPr>
        <w:spacing w:after="0" w:line="70" w:lineRule="exact"/>
        <w:rPr>
          <w:sz w:val="20"/>
          <w:szCs w:val="20"/>
          <w:color w:val="auto"/>
        </w:rPr>
      </w:pPr>
    </w:p>
    <w:p>
      <w:pPr>
        <w:ind w:firstLine="648"/>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EBITDA</w:t>
      </w:r>
      <w:r>
        <w:rPr>
          <w:rFonts w:ascii="Arial" w:cs="Arial" w:eastAsia="Arial" w:hAnsi="Arial"/>
          <w:sz w:val="18"/>
          <w:szCs w:val="18"/>
          <w:color w:val="auto"/>
        </w:rPr>
        <w:t>” means, for any period, Consolidated Net Income for such period plus (a) without duplication, the aggregate amounts deducted in determining such Consolidated Net Income in respect of (i) Consolidated Interest Expense, (ii) Consolidated Income Tax Expense, (iii) Consolidated Depreciation and Amortization Expense, (iv) any extraordinary, unusual or non-recurring expenses, losses and charges, including (A) impairment charges, (B) any loss from dispositions or the sales of assets outside the ordinary course of business,</w:t>
      </w:r>
    </w:p>
    <w:p>
      <w:pPr>
        <w:spacing w:after="0" w:line="3" w:lineRule="exact"/>
        <w:rPr>
          <w:sz w:val="20"/>
          <w:szCs w:val="20"/>
          <w:color w:val="auto"/>
        </w:rPr>
      </w:pPr>
    </w:p>
    <w:p>
      <w:pPr>
        <w:ind w:firstLine="8"/>
        <w:spacing w:after="0" w:line="249" w:lineRule="auto"/>
        <w:tabs>
          <w:tab w:leader="none" w:pos="31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costs and charges associated with any Acquisitions and any related restructurings and investments, including charges for the sale of inventories revalued at the date of acquisition and in-process research and development acquired, and the amortization of acquisition related intangible assets, (D) facility start-up costs and (E) amortization or write-off of debt discount and debt issuance costs and commissions, discounts, debt refinancing costs and commissions and other fees and charges associated with Indebtedness, (v) restricted stock expense and stock option expense (but only to the extent deducted from the determination of Consolidated Net Income for such period), (vi) fees, costs and expenses incurred and paid by the Company or any of the Company’s Subsidiaries in connection with any litigation, judgment or settlement for any actual or threatened claim, action, suit or proceeding, including any out-of-court agreement or settlement, (vii) restructuring charges and reserves (whether or not classified as such under GAAP), including any fees, expenses or losses related to product line exits or the reconstruction, recommissioning or reconfiguration of fixed assets for alternate uses or the disposal, abandonment, transfer, closing or discontinuing of operations or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all such charges made in cash does not exceed the greater of $80,000,000 or 1.25% of Consolidated Total Assets during any twelve-month period, (viii) any non-cash impairment charge or asset write-off or write-down related to intangible assets, goodwill, long-lived assets, and investments in debt and equity securities pursuant to GAAP, (ix) all non-cash losses from investments recorded using the cost or equity method, (x) non-cash stock-based awards compensation expense, (xi) non-cash mark to market and other non-cash charges or non-cash expenses related to Hedge Agreement obligations, (xii) other non-cash charges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non-cash charges referred to in this clause (xii) represent an accrual or reserve for potential cash items in any future period, the cash payment in respect thereof in such future period shall be subtracted from Consolidated EBITDA to such extent), (xiii) (A) any charges, costs, expenses, accruals or reserves incurred pursuant to any management equity plan, profits interest or stock option plan, any equity-based compensation or equity-based incentive plan, or any other management or employee benefit plan, agreement or pension plan and (B) any charges, costs, expenses, accruals or reserves in connection with the rollover, acceleration or payout of Equity Interests of the Company held by management of the Company or any of its Subsidiaries, and (xiv) fees, costs, premiums and expenses incurred and paid by the Company or any of the Company’s Subsidiaries during any period in connection with any acquisition, investment, asset disposition, issuance, prepayment, or redemption of any Indebtedness permitted to be incurred pursuant to Section 6.04, issuance of equity securities, refinancing transaction or amendment or modification of any debt instrument (in each case, whether or not consummated) minus (b) any extraordinary gains, all as determined for the Company and its Subsidiaries on a consolidated basis in accordance with GAAP.</w:t>
      </w:r>
    </w:p>
    <w:p>
      <w:pPr>
        <w:spacing w:after="0" w:line="200" w:lineRule="exact"/>
        <w:rPr>
          <w:sz w:val="20"/>
          <w:szCs w:val="20"/>
          <w:color w:val="auto"/>
        </w:rPr>
      </w:pPr>
    </w:p>
    <w:p>
      <w:pPr>
        <w:spacing w:after="0" w:line="310" w:lineRule="exact"/>
        <w:rPr>
          <w:sz w:val="20"/>
          <w:szCs w:val="20"/>
          <w:color w:val="auto"/>
        </w:rPr>
      </w:pPr>
    </w:p>
    <w:p>
      <w:pPr>
        <w:ind w:right="1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Income Tax Expense</w:t>
      </w:r>
      <w:r>
        <w:rPr>
          <w:rFonts w:ascii="Arial" w:cs="Arial" w:eastAsia="Arial" w:hAnsi="Arial"/>
          <w:sz w:val="20"/>
          <w:szCs w:val="20"/>
          <w:color w:val="auto"/>
        </w:rPr>
        <w:t>” means, for any period, all provisions for taxes based on Consolidated Net Income (including, without limitation, any additions to such taxes, and any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-9-</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77" w:name="page78"/>
    <w:bookmarkEnd w:id="77"/>
    <w:p>
      <w:pPr>
        <w:jc w:val="center"/>
        <w:ind w:right="100"/>
        <w:spacing w:after="0"/>
        <w:rPr>
          <w:sz w:val="20"/>
          <w:szCs w:val="20"/>
          <w:color w:val="auto"/>
        </w:rPr>
      </w:pPr>
      <w:r>
        <w:rPr>
          <w:rFonts w:ascii="Arial" w:cs="Arial" w:eastAsia="Arial" w:hAnsi="Arial"/>
          <w:sz w:val="16"/>
          <w:szCs w:val="16"/>
          <w:color w:val="auto"/>
        </w:rPr>
        <w:t>and interest with respect thereto), all as determined for the Company and its Subsidiaries on a consolidated basis in accordance with GAAP.</w:t>
      </w:r>
    </w:p>
    <w:p>
      <w:pPr>
        <w:spacing w:after="0" w:line="208" w:lineRule="exact"/>
        <w:rPr>
          <w:sz w:val="20"/>
          <w:szCs w:val="20"/>
          <w:color w:val="auto"/>
        </w:rPr>
      </w:pPr>
    </w:p>
    <w:p>
      <w:pPr>
        <w:ind w:right="8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Interest Expense</w:t>
      </w:r>
      <w:r>
        <w:rPr>
          <w:rFonts w:ascii="Arial" w:cs="Arial" w:eastAsia="Arial" w:hAnsi="Arial"/>
          <w:sz w:val="20"/>
          <w:szCs w:val="20"/>
          <w:color w:val="auto"/>
        </w:rPr>
        <w:t>” means, for any period, total interest expense (including, without limitation, that which is capitalized and that which is attributable to Capital Leases or Synthetic Leases) of the Company and its Subsidiaries on a consolidated basis with respect to all outstanding Indebtedness of the Company and its Subsidiaries.</w:t>
      </w:r>
    </w:p>
    <w:p>
      <w:pPr>
        <w:spacing w:after="0" w:line="129" w:lineRule="exact"/>
        <w:rPr>
          <w:sz w:val="20"/>
          <w:szCs w:val="20"/>
          <w:color w:val="auto"/>
        </w:rPr>
      </w:pPr>
    </w:p>
    <w:p>
      <w:pPr>
        <w:ind w:right="18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Net Income</w:t>
      </w:r>
      <w:r>
        <w:rPr>
          <w:rFonts w:ascii="Arial" w:cs="Arial" w:eastAsia="Arial" w:hAnsi="Arial"/>
          <w:sz w:val="20"/>
          <w:szCs w:val="20"/>
          <w:color w:val="auto"/>
        </w:rPr>
        <w:t>” means, for any period, the net income (or loss) of the Company and its Subsidiaries on a consolidated basis for such period taken as a single accounting period determined in conformity with GAAP, but excluding the cumulative effect of a change in accounting principles.</w:t>
      </w:r>
    </w:p>
    <w:p>
      <w:pPr>
        <w:spacing w:after="0" w:line="143" w:lineRule="exact"/>
        <w:rPr>
          <w:sz w:val="20"/>
          <w:szCs w:val="20"/>
          <w:color w:val="auto"/>
        </w:rPr>
      </w:pPr>
    </w:p>
    <w:p>
      <w:pPr>
        <w:ind w:right="1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Net Indebtedness</w:t>
      </w:r>
      <w:r>
        <w:rPr>
          <w:rFonts w:ascii="Arial" w:cs="Arial" w:eastAsia="Arial" w:hAnsi="Arial"/>
          <w:sz w:val="20"/>
          <w:szCs w:val="20"/>
          <w:color w:val="auto"/>
        </w:rPr>
        <w:t>” means, on any date, the difference of (a) Consolidated Total Indebtedness as of such date, minus (b) the aggregate amount of all Unrestricted Cash.</w:t>
      </w:r>
    </w:p>
    <w:p>
      <w:pPr>
        <w:spacing w:after="0" w:line="142" w:lineRule="exact"/>
        <w:rPr>
          <w:sz w:val="20"/>
          <w:szCs w:val="20"/>
          <w:color w:val="auto"/>
        </w:rPr>
      </w:pPr>
    </w:p>
    <w:p>
      <w:pPr>
        <w:ind w:right="1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Assets</w:t>
      </w:r>
      <w:r>
        <w:rPr>
          <w:rFonts w:ascii="Arial" w:cs="Arial" w:eastAsia="Arial" w:hAnsi="Arial"/>
          <w:sz w:val="20"/>
          <w:szCs w:val="20"/>
          <w:color w:val="auto"/>
        </w:rPr>
        <w:t>” means, on any date, all amounts that, in conformity with GAAP, would be included under the caption “total assets” (or any like caption) on a consolidated balance sheet of the Company at such time.</w:t>
      </w:r>
    </w:p>
    <w:p>
      <w:pPr>
        <w:spacing w:after="0" w:line="128"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u w:val="single" w:color="auto"/>
          <w:color w:val="008000"/>
        </w:rPr>
        <w:t>“</w:t>
      </w:r>
      <w:r>
        <w:rPr>
          <w:rFonts w:ascii="Arial" w:cs="Arial" w:eastAsia="Arial" w:hAnsi="Arial"/>
          <w:sz w:val="20"/>
          <w:szCs w:val="20"/>
          <w:b w:val="1"/>
          <w:bCs w:val="1"/>
          <w:i w:val="1"/>
          <w:iCs w:val="1"/>
          <w:u w:val="single" w:color="auto"/>
          <w:color w:val="008000"/>
        </w:rPr>
        <w:t>Consolidated Total Indebtedness</w:t>
      </w:r>
      <w:r>
        <w:rPr>
          <w:rFonts w:ascii="Arial" w:cs="Arial" w:eastAsia="Arial" w:hAnsi="Arial"/>
          <w:sz w:val="20"/>
          <w:szCs w:val="20"/>
          <w:u w:val="single" w:color="auto"/>
          <w:color w:val="008000"/>
        </w:rPr>
        <w:t>” means the sum (without duplication) of all Indebtedness of the Company and of its Subsidiaries, all as determined on a consolidated basis.</w:t>
      </w:r>
    </w:p>
    <w:p>
      <w:pPr>
        <w:spacing w:after="0" w:line="142" w:lineRule="exact"/>
        <w:rPr>
          <w:sz w:val="20"/>
          <w:szCs w:val="20"/>
          <w:color w:val="auto"/>
        </w:rPr>
      </w:pPr>
    </w:p>
    <w:p>
      <w:pPr>
        <w:ind w:right="6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Tangible Assets</w:t>
      </w:r>
      <w:r>
        <w:rPr>
          <w:rFonts w:ascii="Arial" w:cs="Arial" w:eastAsia="Arial" w:hAnsi="Arial"/>
          <w:sz w:val="20"/>
          <w:szCs w:val="20"/>
          <w:color w:val="auto"/>
        </w:rPr>
        <w:t>” means, on any date, all amounts that, in conformity with GAAP, would be included under the caption “total assets” (or any like caption) on a consolidated balance sheet of the Company at such time excluding the net book value of intangible assets.</w:t>
      </w:r>
    </w:p>
    <w:p>
      <w:pPr>
        <w:spacing w:after="0" w:line="143"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008000"/>
          <w:strike w:val="1"/>
        </w:rPr>
        <w:t>“</w:t>
      </w:r>
      <w:r>
        <w:rPr>
          <w:rFonts w:ascii="Arial" w:cs="Arial" w:eastAsia="Arial" w:hAnsi="Arial"/>
          <w:sz w:val="20"/>
          <w:szCs w:val="20"/>
          <w:b w:val="1"/>
          <w:bCs w:val="1"/>
          <w:i w:val="1"/>
          <w:iCs w:val="1"/>
          <w:color w:val="008000"/>
          <w:strike w:val="1"/>
        </w:rPr>
        <w:t>Consolidated Total Indebtedness</w:t>
      </w:r>
      <w:r>
        <w:rPr>
          <w:rFonts w:ascii="Arial" w:cs="Arial" w:eastAsia="Arial" w:hAnsi="Arial"/>
          <w:sz w:val="20"/>
          <w:szCs w:val="20"/>
          <w:color w:val="008000"/>
          <w:strike w:val="1"/>
        </w:rPr>
        <w:t>” means the sum (without duplication) of all Indebtedness of the Company and of its Subsidiaries, all as determined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100330</wp:posOffset>
            </wp:positionV>
            <wp:extent cx="8255" cy="436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82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possession, directly or indirectly, of the power to direct or cause the direction of the management or policies of</w:t>
      </w:r>
    </w:p>
    <w:p>
      <w:pPr>
        <w:spacing w:after="0" w:line="12"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color w:val="auto"/>
        </w:rPr>
        <w:t xml:space="preserve">a Person, whether through the ability to exercise </w:t>
      </w:r>
      <w:r>
        <w:rPr>
          <w:rFonts w:ascii="Arial" w:cs="Arial" w:eastAsia="Arial" w:hAnsi="Arial"/>
          <w:sz w:val="20"/>
          <w:szCs w:val="20"/>
          <w:color w:val="FF0000"/>
          <w:strike w:val="1"/>
        </w:rPr>
        <w:t>voting power</w:t>
      </w:r>
      <w:r>
        <w:rPr>
          <w:rFonts w:ascii="Arial" w:cs="Arial" w:eastAsia="Arial" w:hAnsi="Arial"/>
          <w:sz w:val="20"/>
          <w:szCs w:val="20"/>
          <w:u w:val="single" w:color="auto"/>
          <w:color w:val="0000FF"/>
        </w:rPr>
        <w:t>Voting Power</w:t>
      </w:r>
      <w:r>
        <w:rPr>
          <w:rFonts w:ascii="Arial" w:cs="Arial" w:eastAsia="Arial" w:hAnsi="Arial"/>
          <w:sz w:val="20"/>
          <w:szCs w:val="20"/>
          <w:color w:val="auto"/>
        </w:rPr>
        <w:t>, by contract or otherwise. “</w:t>
      </w:r>
      <w:r>
        <w:rPr>
          <w:rFonts w:ascii="Arial" w:cs="Arial" w:eastAsia="Arial" w:hAnsi="Arial"/>
          <w:sz w:val="20"/>
          <w:szCs w:val="20"/>
          <w:b w:val="1"/>
          <w:bCs w:val="1"/>
          <w:i w:val="1"/>
          <w:iCs w:val="1"/>
          <w:color w:val="FF0000"/>
          <w:strike w:val="1"/>
        </w:rPr>
        <w:t>Controlling</w:t>
      </w:r>
      <w:r>
        <w:rPr>
          <w:rFonts w:ascii="Arial" w:cs="Arial" w:eastAsia="Arial" w:hAnsi="Arial"/>
          <w:sz w:val="20"/>
          <w:szCs w:val="20"/>
          <w:color w:val="FF0000"/>
          <w:strike w:val="1"/>
        </w:rPr>
        <w:t>” and “</w:t>
      </w:r>
      <w:r>
        <w:rPr>
          <w:rFonts w:ascii="Arial" w:cs="Arial" w:eastAsia="Arial" w:hAnsi="Arial"/>
          <w:sz w:val="20"/>
          <w:szCs w:val="20"/>
          <w:b w:val="1"/>
          <w:bCs w:val="1"/>
          <w:i w:val="1"/>
          <w:iCs w:val="1"/>
          <w:color w:val="auto"/>
        </w:rPr>
        <w:t>Controlled</w:t>
      </w:r>
      <w:r>
        <w:rPr>
          <w:rFonts w:ascii="Arial" w:cs="Arial" w:eastAsia="Arial" w:hAnsi="Arial"/>
          <w:sz w:val="20"/>
          <w:szCs w:val="20"/>
          <w:color w:val="auto"/>
        </w:rPr>
        <w:t xml:space="preserve">” </w:t>
      </w:r>
      <w:r>
        <w:rPr>
          <w:rFonts w:ascii="Arial" w:cs="Arial" w:eastAsia="Arial" w:hAnsi="Arial"/>
          <w:sz w:val="20"/>
          <w:szCs w:val="20"/>
          <w:color w:val="FF0000"/>
          <w:strike w:val="1"/>
        </w:rPr>
        <w:t>have</w:t>
      </w:r>
      <w:r>
        <w:rPr>
          <w:rFonts w:ascii="Arial" w:cs="Arial" w:eastAsia="Arial" w:hAnsi="Arial"/>
          <w:sz w:val="20"/>
          <w:szCs w:val="20"/>
          <w:color w:val="auto"/>
        </w:rPr>
        <w:t xml:space="preserve"> </w:t>
      </w:r>
      <w:r>
        <w:rPr>
          <w:rFonts w:ascii="Arial" w:cs="Arial" w:eastAsia="Arial" w:hAnsi="Arial"/>
          <w:sz w:val="20"/>
          <w:szCs w:val="20"/>
          <w:color w:val="FF0000"/>
          <w:strike w:val="1"/>
        </w:rPr>
        <w:t>meanings</w:t>
      </w:r>
      <w:r>
        <w:rPr>
          <w:rFonts w:ascii="Arial" w:cs="Arial" w:eastAsia="Arial" w:hAnsi="Arial"/>
          <w:sz w:val="20"/>
          <w:szCs w:val="20"/>
          <w:u w:val="single" w:color="auto"/>
          <w:color w:val="0000FF"/>
        </w:rPr>
        <w:t>has a meaning</w:t>
      </w:r>
      <w:r>
        <w:rPr>
          <w:rFonts w:ascii="Arial" w:cs="Arial" w:eastAsia="Arial" w:hAnsi="Arial"/>
          <w:sz w:val="20"/>
          <w:szCs w:val="20"/>
          <w:color w:val="FF0000"/>
        </w:rPr>
        <w:t xml:space="preserve"> </w:t>
      </w:r>
      <w:r>
        <w:rPr>
          <w:rFonts w:ascii="Arial" w:cs="Arial" w:eastAsia="Arial" w:hAnsi="Arial"/>
          <w:sz w:val="20"/>
          <w:szCs w:val="20"/>
          <w:color w:val="000000"/>
        </w:rPr>
        <w:t>correlative thereto.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FF0000"/>
          <w:strike w:val="1"/>
        </w:rPr>
        <w:t>Cooper Kft</w:t>
      </w:r>
      <w:r>
        <w:rPr>
          <w:rFonts w:ascii="Arial" w:cs="Arial" w:eastAsia="Arial" w:hAnsi="Arial"/>
          <w:sz w:val="20"/>
          <w:szCs w:val="20"/>
          <w:b w:val="1"/>
          <w:bCs w:val="1"/>
          <w:i w:val="1"/>
          <w:iCs w:val="1"/>
          <w:u w:val="single" w:color="auto"/>
          <w:color w:val="0000FF"/>
        </w:rPr>
        <w:t>CooperSurgical UK</w:t>
      </w:r>
      <w:r>
        <w:rPr>
          <w:rFonts w:ascii="Arial" w:cs="Arial" w:eastAsia="Arial" w:hAnsi="Arial"/>
          <w:sz w:val="20"/>
          <w:szCs w:val="20"/>
          <w:color w:val="auto"/>
        </w:rPr>
        <w:t>” has the meaning assigned to such term in the preamble.</w:t>
      </w:r>
    </w:p>
    <w:p>
      <w:pPr>
        <w:spacing w:after="0" w:line="148"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Cooper UK</w:t>
      </w:r>
      <w:r>
        <w:rPr>
          <w:rFonts w:ascii="Arial" w:cs="Arial" w:eastAsia="Arial" w:hAnsi="Arial"/>
          <w:sz w:val="20"/>
          <w:szCs w:val="20"/>
          <w:color w:val="auto"/>
        </w:rPr>
        <w:t>” means CooperVision International Limited, a private limited company registered in England and Wales with company registration number 12210296.</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CooperVision International</w:t>
      </w:r>
      <w:r>
        <w:rPr>
          <w:rFonts w:ascii="Arial" w:cs="Arial" w:eastAsia="Arial" w:hAnsi="Arial"/>
          <w:sz w:val="20"/>
          <w:szCs w:val="20"/>
          <w:color w:val="FF0000"/>
          <w:strike w:val="1"/>
        </w:rPr>
        <w:t>” has the meaning assigned to such term in the preamble.</w:t>
      </w:r>
    </w:p>
    <w:p>
      <w:pPr>
        <w:spacing w:after="0" w:line="162" w:lineRule="exact"/>
        <w:rPr>
          <w:sz w:val="20"/>
          <w:szCs w:val="20"/>
          <w:color w:val="auto"/>
        </w:rPr>
      </w:pPr>
    </w:p>
    <w:p>
      <w:pPr>
        <w:ind w:right="2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Credit Party</w:t>
      </w:r>
      <w:r>
        <w:rPr>
          <w:rFonts w:ascii="Arial" w:cs="Arial" w:eastAsia="Arial" w:hAnsi="Arial"/>
          <w:sz w:val="20"/>
          <w:szCs w:val="20"/>
          <w:color w:val="auto"/>
        </w:rPr>
        <w:t>” means the Administrative Agent, the Issuing Bank, the Swingline Lender, each Designated Hedge Creditor or any other Lender, and the respective successors and assigns of each of the foregoing.</w:t>
      </w:r>
    </w:p>
    <w:p>
      <w:pPr>
        <w:spacing w:after="0" w:line="128" w:lineRule="exact"/>
        <w:rPr>
          <w:sz w:val="20"/>
          <w:szCs w:val="20"/>
          <w:color w:val="auto"/>
        </w:rPr>
      </w:pPr>
    </w:p>
    <w:p>
      <w:pPr>
        <w:ind w:right="2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42" w:lineRule="exact"/>
        <w:rPr>
          <w:sz w:val="20"/>
          <w:szCs w:val="20"/>
          <w:color w:val="auto"/>
        </w:rPr>
      </w:pPr>
    </w:p>
    <w:p>
      <w:pPr>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Defaulting Lender</w:t>
      </w:r>
      <w:r>
        <w:rPr>
          <w:rFonts w:ascii="Arial" w:cs="Arial" w:eastAsia="Arial" w:hAnsi="Arial"/>
          <w:sz w:val="18"/>
          <w:szCs w:val="18"/>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Borrowers or any Credit Party in writing, or has made a public statement to the effect, that it does not intend or expect to comply with any of its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-10-</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160"/>
          </w:cols>
          <w:pgMar w:left="320" w:top="1405" w:right="419" w:bottom="1440" w:gutter="0" w:footer="0" w:header="0"/>
        </w:sectPr>
      </w:pPr>
    </w:p>
    <w:bookmarkStart w:id="78" w:name="page79"/>
    <w:bookmarkEnd w:id="78"/>
    <w:p>
      <w:pPr>
        <w:spacing w:after="0" w:line="204" w:lineRule="auto"/>
        <w:rPr>
          <w:sz w:val="20"/>
          <w:szCs w:val="20"/>
          <w:color w:val="auto"/>
        </w:rPr>
      </w:pPr>
      <w:r>
        <w:rPr>
          <w:rFonts w:ascii="Arial" w:cs="Arial" w:eastAsia="Arial" w:hAnsi="Arial"/>
          <w:sz w:val="20"/>
          <w:szCs w:val="20"/>
          <w:color w:val="auto"/>
        </w:rPr>
        <w:t xml:space="preserve">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w:t>
      </w:r>
      <w:r>
        <w:rPr>
          <w:rFonts w:ascii="Arial" w:cs="Arial" w:eastAsia="Arial" w:hAnsi="Arial"/>
          <w:sz w:val="20"/>
          <w:szCs w:val="20"/>
          <w:color w:val="0000FF"/>
        </w:rPr>
        <w:t>as of the date of such certification</w:t>
      </w:r>
      <w:r>
        <w:rPr>
          <w:rFonts w:ascii="Arial" w:cs="Arial" w:eastAsia="Arial" w:hAnsi="Arial"/>
          <w:sz w:val="20"/>
          <w:szCs w:val="20"/>
          <w:color w:val="auto"/>
        </w:rPr>
        <w:t xml:space="preserve">) to fund prospective Loans and participations in then outstanding Letters of Credit and Swingline Loans under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Lender shall cease to be a Defaulting Lender pursuant to this clause (c) upon such Credit Party’s receipt of such certification in form and substance satisfactory to it and the Administrative Agent, (d) has become the subject of a Bail-In Action or (e) has become the subject of a Bankruptcy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-505460</wp:posOffset>
            </wp:positionV>
            <wp:extent cx="17335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733550" cy="8255"/>
                    </a:xfrm>
                    <a:prstGeom prst="rect">
                      <a:avLst/>
                    </a:prstGeom>
                    <a:noFill/>
                  </pic:spPr>
                </pic:pic>
              </a:graphicData>
            </a:graphic>
          </wp:anchor>
        </w:drawing>
      </w:r>
    </w:p>
    <w:p>
      <w:pPr>
        <w:spacing w:after="0" w:line="124" w:lineRule="exact"/>
        <w:rPr>
          <w:sz w:val="20"/>
          <w:szCs w:val="20"/>
          <w:color w:val="auto"/>
        </w:rPr>
      </w:pPr>
    </w:p>
    <w:p>
      <w:pPr>
        <w:ind w:right="20" w:firstLine="648"/>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Foreign Currency</w:t>
      </w:r>
      <w:r>
        <w:rPr>
          <w:rFonts w:ascii="Arial" w:cs="Arial" w:eastAsia="Arial" w:hAnsi="Arial"/>
          <w:sz w:val="18"/>
          <w:szCs w:val="18"/>
          <w:color w:val="auto"/>
        </w:rPr>
        <w:t>” means Euros, Canadian dollars, Pounds Sterling, Japanese Yen, any other currency (other than Dollars) identified as a G10 currency (or any successor or substitute term) on the Closing Date (which, for the avoidance of doubt, includes Euros, Japanese Yen, Canadian dollars, Swiss francs, British pounds, Australian dollars, New Zealand dollars, Norwegian krone and Swedish krona) by a generally recognized financial information service selected by the Administrative Agent, or any other currency (other than Dollars) approved in writing by each of the Revolving Lenders and that is freely traded and exchangeable into Dollars.</w:t>
      </w:r>
    </w:p>
    <w:p>
      <w:pPr>
        <w:spacing w:after="0" w:line="129" w:lineRule="exact"/>
        <w:rPr>
          <w:sz w:val="20"/>
          <w:szCs w:val="20"/>
          <w:color w:val="auto"/>
        </w:rPr>
      </w:pPr>
    </w:p>
    <w:p>
      <w:pPr>
        <w:ind w:right="32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Hedge Agreement</w:t>
      </w:r>
      <w:r>
        <w:rPr>
          <w:rFonts w:ascii="Arial" w:cs="Arial" w:eastAsia="Arial" w:hAnsi="Arial"/>
          <w:sz w:val="20"/>
          <w:szCs w:val="20"/>
          <w:color w:val="auto"/>
        </w:rPr>
        <w:t>” means any Existing Hedge Agreement and any Hedge Agreement (other than a Commodities Hedge Agreement) to which a Borrower or any Subsidiary is a party and as to which, at the time such Hedge Agreement is entered into, a Lender or any of its Affiliates is a counterparty.</w:t>
      </w:r>
    </w:p>
    <w:p>
      <w:pPr>
        <w:spacing w:after="0" w:line="143" w:lineRule="exact"/>
        <w:rPr>
          <w:sz w:val="20"/>
          <w:szCs w:val="20"/>
          <w:color w:val="auto"/>
        </w:rPr>
      </w:pPr>
    </w:p>
    <w:p>
      <w:pPr>
        <w:ind w:right="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Hedge Creditor</w:t>
      </w:r>
      <w:r>
        <w:rPr>
          <w:rFonts w:ascii="Arial" w:cs="Arial" w:eastAsia="Arial" w:hAnsi="Arial"/>
          <w:sz w:val="20"/>
          <w:szCs w:val="20"/>
          <w:color w:val="auto"/>
        </w:rPr>
        <w:t>” means each Person that participates as a counterparty to a Borrower or any Subsidiary pursuant to any Designated Hedge Agreement.</w:t>
      </w:r>
    </w:p>
    <w:p>
      <w:pPr>
        <w:spacing w:after="0" w:line="14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Persons</w:t>
      </w:r>
      <w:r>
        <w:rPr>
          <w:rFonts w:ascii="Arial" w:cs="Arial" w:eastAsia="Arial" w:hAnsi="Arial"/>
          <w:sz w:val="16"/>
          <w:szCs w:val="16"/>
          <w:color w:val="auto"/>
        </w:rPr>
        <w:t>” means, at any time, (a) any Person listed in any sanctions-related list of designated Persons maintained by OFAC, the U.S. Department of State, the United Nations Security Council, the European Union, Her Majesty’s Treasury, the Government of Canada, or other relevant sanctions authority, or (b) any Person owned or controlled by any such Person or Persons described in clause (a).</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Disclosed Matters</w:t>
      </w:r>
      <w:r>
        <w:rPr>
          <w:rFonts w:ascii="Arial" w:cs="Arial" w:eastAsia="Arial" w:hAnsi="Arial"/>
          <w:sz w:val="18"/>
          <w:szCs w:val="18"/>
          <w:color w:val="auto"/>
        </w:rPr>
        <w:t>” means the actions, suits and proceedings, the environmental matters or other fact or circumstance disclosed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7620</wp:posOffset>
            </wp:positionV>
            <wp:extent cx="8890" cy="436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8890" cy="43688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 xml:space="preserve">the Company’s annual report on Form 10-K for the fiscal year ended October 31, </w:t>
      </w:r>
      <w:r>
        <w:rPr>
          <w:rFonts w:ascii="Arial" w:cs="Arial" w:eastAsia="Arial" w:hAnsi="Arial"/>
          <w:sz w:val="18"/>
          <w:szCs w:val="18"/>
          <w:color w:val="FF0000"/>
          <w:strike w:val="1"/>
        </w:rPr>
        <w:t>2019 or quarterly report on Form 10Q for the fiscal quarter</w:t>
      </w:r>
      <w:r>
        <w:rPr>
          <w:rFonts w:ascii="Arial" w:cs="Arial" w:eastAsia="Arial" w:hAnsi="Arial"/>
          <w:sz w:val="18"/>
          <w:szCs w:val="18"/>
          <w:color w:val="auto"/>
        </w:rPr>
        <w:t xml:space="preserve"> </w:t>
      </w:r>
      <w:r>
        <w:rPr>
          <w:rFonts w:ascii="Arial" w:cs="Arial" w:eastAsia="Arial" w:hAnsi="Arial"/>
          <w:sz w:val="18"/>
          <w:szCs w:val="18"/>
          <w:color w:val="FF0000"/>
          <w:strike w:val="1"/>
        </w:rPr>
        <w:t>ended January 31, 2020</w:t>
      </w:r>
      <w:r>
        <w:rPr>
          <w:rFonts w:ascii="Arial" w:cs="Arial" w:eastAsia="Arial" w:hAnsi="Arial"/>
          <w:sz w:val="18"/>
          <w:szCs w:val="18"/>
          <w:u w:val="single" w:color="auto"/>
          <w:color w:val="0000FF"/>
        </w:rPr>
        <w:t>2021</w:t>
      </w:r>
      <w:r>
        <w:rPr>
          <w:rFonts w:ascii="Arial" w:cs="Arial" w:eastAsia="Arial" w:hAnsi="Arial"/>
          <w:sz w:val="18"/>
          <w:szCs w:val="18"/>
          <w:color w:val="000000"/>
        </w:rPr>
        <w:t>, or any other reports filed prior to the Closing Date (including Form 8-K), in each case, 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915670</wp:posOffset>
            </wp:positionH>
            <wp:positionV relativeFrom="paragraph">
              <wp:posOffset>-95250</wp:posOffset>
            </wp:positionV>
            <wp:extent cx="311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82" w:lineRule="exact"/>
        <w:rPr>
          <w:sz w:val="20"/>
          <w:szCs w:val="20"/>
          <w:color w:val="auto"/>
        </w:rPr>
      </w:pPr>
    </w:p>
    <w:p>
      <w:pPr>
        <w:ind w:right="64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Documentation Agent</w:t>
      </w:r>
      <w:r>
        <w:rPr>
          <w:rFonts w:ascii="Arial" w:cs="Arial" w:eastAsia="Arial" w:hAnsi="Arial"/>
          <w:sz w:val="19"/>
          <w:szCs w:val="19"/>
          <w:color w:val="auto"/>
        </w:rPr>
        <w:t>” means each of Bank of the West, Mizuho Bank, Ltd., The Bank of Nova Scotia, U.S. Bank National Association and Wells Fargo Bank, National Association, as documentation agents under this Agreement.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0"/>
          <w:szCs w:val="20"/>
          <w:color w:val="008000"/>
          <w:strike w:val="1"/>
        </w:rPr>
        <w:t>“</w:t>
      </w:r>
      <w:r>
        <w:rPr>
          <w:rFonts w:ascii="Arial" w:cs="Arial" w:eastAsia="Arial" w:hAnsi="Arial"/>
          <w:sz w:val="20"/>
          <w:szCs w:val="20"/>
          <w:b w:val="1"/>
          <w:bCs w:val="1"/>
          <w:i w:val="1"/>
          <w:iCs w:val="1"/>
          <w:color w:val="008000"/>
          <w:strike w:val="1"/>
        </w:rPr>
        <w:t>Dollars</w:t>
      </w:r>
      <w:r>
        <w:rPr>
          <w:rFonts w:ascii="Arial" w:cs="Arial" w:eastAsia="Arial" w:hAnsi="Arial"/>
          <w:sz w:val="20"/>
          <w:szCs w:val="20"/>
          <w:color w:val="008000"/>
          <w:strike w:val="1"/>
        </w:rPr>
        <w:t>” or “</w:t>
      </w:r>
      <w:r>
        <w:rPr>
          <w:rFonts w:ascii="Arial" w:cs="Arial" w:eastAsia="Arial" w:hAnsi="Arial"/>
          <w:sz w:val="20"/>
          <w:szCs w:val="20"/>
          <w:b w:val="1"/>
          <w:bCs w:val="1"/>
          <w:i w:val="1"/>
          <w:iCs w:val="1"/>
          <w:color w:val="008000"/>
          <w:strike w:val="1"/>
        </w:rPr>
        <w:t>$</w:t>
      </w:r>
      <w:r>
        <w:rPr>
          <w:rFonts w:ascii="Arial" w:cs="Arial" w:eastAsia="Arial" w:hAnsi="Arial"/>
          <w:sz w:val="20"/>
          <w:szCs w:val="20"/>
          <w:color w:val="008000"/>
          <w:strike w:val="1"/>
        </w:rPr>
        <w:t>” refers to lawful money of the United States of America</w:t>
      </w:r>
      <w:r>
        <w:rPr>
          <w:rFonts w:ascii="Arial" w:cs="Arial" w:eastAsia="Arial" w:hAnsi="Arial"/>
          <w:sz w:val="20"/>
          <w:szCs w:val="20"/>
          <w:color w:val="008000"/>
        </w:rPr>
        <w:t>.</w:t>
      </w:r>
    </w:p>
    <w:p>
      <w:pPr>
        <w:spacing w:after="0" w:line="162" w:lineRule="exact"/>
        <w:rPr>
          <w:sz w:val="20"/>
          <w:szCs w:val="20"/>
          <w:color w:val="auto"/>
        </w:rPr>
      </w:pPr>
    </w:p>
    <w:p>
      <w:pPr>
        <w:ind w:right="20" w:firstLine="648"/>
        <w:spacing w:after="0" w:line="20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 Equivalent</w:t>
      </w:r>
      <w:r>
        <w:rPr>
          <w:rFonts w:ascii="Arial" w:cs="Arial" w:eastAsia="Arial" w:hAnsi="Arial"/>
          <w:sz w:val="20"/>
          <w:szCs w:val="20"/>
          <w:color w:val="auto"/>
        </w:rPr>
        <w:t>” means, (i) with respect to any amount denominated in Dollars, such amount, (ii) with respect to a Foreign Currency Loan to be made, the Dollar equivalent of the amount of such Foreign Currency Loan, determined by the Administrative Agent on the basis of its spot rate at approximately 11:00 A.M. London time on the date two Business Days before the date such Foreign Currency Loan is to be made, for the purchase of the relevant Designated Foreign Currency with Dollars for delivery on the date such Foreign Currency Loan is to be made, (iii) with respect to any Letter of Credit to be issued in any Designated Foreign Currency, the Dollar equivalent of the maximum amount available to be drawn under such Letter of Credit, determined by the applicable Issuing Bank on the basis of its spot rate at approximately 11:00 A.M. London time on the date two Business Days before the issuance of such Letter of Credit, for the purchase of the relevant Designated Foreign Currency with Dollars for delivery on such date of issuance, and (iv) with respect to any other amount not denominated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-11-</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79" w:name="page80"/>
    <w:bookmarkEnd w:id="79"/>
    <w:p>
      <w:pPr>
        <w:ind w:right="220"/>
        <w:spacing w:after="0" w:line="210" w:lineRule="auto"/>
        <w:rPr>
          <w:sz w:val="20"/>
          <w:szCs w:val="20"/>
          <w:color w:val="auto"/>
        </w:rPr>
      </w:pPr>
      <w:r>
        <w:rPr>
          <w:rFonts w:ascii="Arial" w:cs="Arial" w:eastAsia="Arial" w:hAnsi="Arial"/>
          <w:sz w:val="20"/>
          <w:szCs w:val="20"/>
          <w:color w:val="auto"/>
        </w:rPr>
        <w:t>in Dollars, and with respect to Foreign Currency Loans and Letters of Credit issued in any Designated Foreign Currency at any other time, the Dollar equivalent of such amount, Foreign Currency Loan or Letter of Credit, as the case may be, determined by the Administrative Agent on the basis of its spot rate at approximately 11:00 A.M. London time on the date for which the Dollar equivalent amount of such amount, Foreign Currency Loan or Letter of Credit, as the case may be, is being determined, for the purchase of the relevant Designated Foreign Currency with Dollars for delivery on such date.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8000"/>
        </w:rPr>
        <w:t>“</w:t>
      </w:r>
      <w:r>
        <w:rPr>
          <w:rFonts w:ascii="Arial" w:cs="Arial" w:eastAsia="Arial" w:hAnsi="Arial"/>
          <w:sz w:val="20"/>
          <w:szCs w:val="20"/>
          <w:b w:val="1"/>
          <w:bCs w:val="1"/>
          <w:i w:val="1"/>
          <w:iCs w:val="1"/>
          <w:u w:val="single" w:color="auto"/>
          <w:color w:val="008000"/>
        </w:rPr>
        <w:t>Dollars</w:t>
      </w:r>
      <w:r>
        <w:rPr>
          <w:rFonts w:ascii="Arial" w:cs="Arial" w:eastAsia="Arial" w:hAnsi="Arial"/>
          <w:sz w:val="20"/>
          <w:szCs w:val="20"/>
          <w:u w:val="single" w:color="auto"/>
          <w:color w:val="008000"/>
        </w:rPr>
        <w:t>” or “</w:t>
      </w:r>
      <w:r>
        <w:rPr>
          <w:rFonts w:ascii="Arial" w:cs="Arial" w:eastAsia="Arial" w:hAnsi="Arial"/>
          <w:sz w:val="20"/>
          <w:szCs w:val="20"/>
          <w:b w:val="1"/>
          <w:bCs w:val="1"/>
          <w:i w:val="1"/>
          <w:iCs w:val="1"/>
          <w:u w:val="single" w:color="auto"/>
          <w:color w:val="008000"/>
        </w:rPr>
        <w:t>$</w:t>
      </w:r>
      <w:r>
        <w:rPr>
          <w:rFonts w:ascii="Arial" w:cs="Arial" w:eastAsia="Arial" w:hAnsi="Arial"/>
          <w:sz w:val="20"/>
          <w:szCs w:val="20"/>
          <w:u w:val="single" w:color="auto"/>
          <w:color w:val="008000"/>
        </w:rPr>
        <w:t>” refers to lawful money of the United States of America.</w:t>
      </w:r>
    </w:p>
    <w:p>
      <w:pPr>
        <w:spacing w:after="0" w:line="148" w:lineRule="exact"/>
        <w:rPr>
          <w:sz w:val="20"/>
          <w:szCs w:val="20"/>
          <w:color w:val="auto"/>
        </w:rPr>
      </w:pPr>
    </w:p>
    <w:p>
      <w:pPr>
        <w:ind w:right="3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Domestic Subsidiary</w:t>
      </w:r>
      <w:r>
        <w:rPr>
          <w:rFonts w:ascii="Arial" w:cs="Arial" w:eastAsia="Arial" w:hAnsi="Arial"/>
          <w:sz w:val="20"/>
          <w:szCs w:val="20"/>
          <w:color w:val="auto"/>
        </w:rPr>
        <w:t>” means any Subsidiary organized under the laws of the United States of America, any State thereof, or the District of Columbia, excluding any FSHCO and any subsidiary of either a FSHCO or a Foreign Subsidiary.</w:t>
      </w:r>
    </w:p>
    <w:p>
      <w:pPr>
        <w:spacing w:after="0" w:line="142" w:lineRule="exact"/>
        <w:rPr>
          <w:sz w:val="20"/>
          <w:szCs w:val="20"/>
          <w:color w:val="auto"/>
        </w:rPr>
      </w:pPr>
    </w:p>
    <w:p>
      <w:pPr>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EEA Financial Institution</w:t>
      </w:r>
      <w:r>
        <w:rPr>
          <w:rFonts w:ascii="Arial" w:cs="Arial" w:eastAsia="Arial" w:hAnsi="Arial"/>
          <w:sz w:val="20"/>
          <w:szCs w:val="20"/>
          <w:color w:val="auto"/>
        </w:rPr>
        <w:t xml:space="preserve">” means (a) any credit institution or investment firm established in any EEA Member Country </w:t>
      </w:r>
      <w:r>
        <w:rPr>
          <w:rFonts w:ascii="Arial" w:cs="Arial" w:eastAsia="Arial" w:hAnsi="Arial"/>
          <w:sz w:val="20"/>
          <w:szCs w:val="20"/>
          <w:u w:val="single" w:color="auto"/>
          <w:color w:val="0000FF"/>
        </w:rPr>
        <w:t>or the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United Kingdom</w:t>
      </w:r>
      <w:r>
        <w:rPr>
          <w:rFonts w:ascii="Arial" w:cs="Arial" w:eastAsia="Arial" w:hAnsi="Arial"/>
          <w:sz w:val="20"/>
          <w:szCs w:val="20"/>
          <w:color w:val="0000FF"/>
        </w:rPr>
        <w:t xml:space="preserve"> </w:t>
      </w:r>
      <w:r>
        <w:rPr>
          <w:rFonts w:ascii="Arial" w:cs="Arial" w:eastAsia="Arial" w:hAnsi="Arial"/>
          <w:sz w:val="20"/>
          <w:szCs w:val="20"/>
          <w:color w:val="000000"/>
        </w:rPr>
        <w:t>which is subject to the supervision of</w:t>
      </w:r>
      <w:r>
        <w:rPr>
          <w:rFonts w:ascii="Arial" w:cs="Arial" w:eastAsia="Arial" w:hAnsi="Arial"/>
          <w:sz w:val="20"/>
          <w:szCs w:val="20"/>
          <w:color w:val="0000FF"/>
        </w:rPr>
        <w:t xml:space="preserve"> </w:t>
      </w:r>
      <w:r>
        <w:rPr>
          <w:rFonts w:ascii="Arial" w:cs="Arial" w:eastAsia="Arial" w:hAnsi="Arial"/>
          <w:sz w:val="20"/>
          <w:szCs w:val="20"/>
          <w:color w:val="FF0000"/>
          <w:strike w:val="1"/>
        </w:rPr>
        <w:t>an</w:t>
      </w:r>
      <w:r>
        <w:rPr>
          <w:rFonts w:ascii="Arial" w:cs="Arial" w:eastAsia="Arial" w:hAnsi="Arial"/>
          <w:sz w:val="20"/>
          <w:szCs w:val="20"/>
          <w:color w:val="0000FF"/>
        </w:rPr>
        <w:t xml:space="preserve"> </w:t>
      </w:r>
      <w:r>
        <w:rPr>
          <w:rFonts w:ascii="Arial" w:cs="Arial" w:eastAsia="Arial" w:hAnsi="Arial"/>
          <w:sz w:val="20"/>
          <w:szCs w:val="20"/>
          <w:u w:val="single" w:color="auto"/>
          <w:color w:val="FF0000"/>
          <w:strike w:val="1"/>
        </w:rPr>
        <w:t>EEA</w:t>
      </w:r>
      <w:r>
        <w:rPr>
          <w:rFonts w:ascii="Arial" w:cs="Arial" w:eastAsia="Arial" w:hAnsi="Arial"/>
          <w:sz w:val="20"/>
          <w:szCs w:val="20"/>
          <w:u w:val="single" w:color="auto"/>
          <w:color w:val="0000FF"/>
        </w:rPr>
        <w:t>a</w:t>
      </w:r>
      <w:r>
        <w:rPr>
          <w:rFonts w:ascii="Arial" w:cs="Arial" w:eastAsia="Arial" w:hAnsi="Arial"/>
          <w:sz w:val="20"/>
          <w:szCs w:val="20"/>
          <w:color w:val="0000FF"/>
        </w:rPr>
        <w:t xml:space="preserve"> </w:t>
      </w:r>
      <w:r>
        <w:rPr>
          <w:rFonts w:ascii="Arial" w:cs="Arial" w:eastAsia="Arial" w:hAnsi="Arial"/>
          <w:sz w:val="20"/>
          <w:szCs w:val="20"/>
          <w:color w:val="000000"/>
        </w:rPr>
        <w:t>Resolution Authority, (b) any entity established in an EEA Member Country</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or the United Kingdom</w:t>
      </w:r>
      <w:r>
        <w:rPr>
          <w:rFonts w:ascii="Arial" w:cs="Arial" w:eastAsia="Arial" w:hAnsi="Arial"/>
          <w:sz w:val="20"/>
          <w:szCs w:val="20"/>
          <w:color w:val="0000FF"/>
        </w:rPr>
        <w:t xml:space="preserve"> </w:t>
      </w:r>
      <w:r>
        <w:rPr>
          <w:rFonts w:ascii="Arial" w:cs="Arial" w:eastAsia="Arial" w:hAnsi="Arial"/>
          <w:sz w:val="20"/>
          <w:szCs w:val="20"/>
          <w:color w:val="000000"/>
        </w:rPr>
        <w:t>which is a parent of an institution described in clause (a) of this definition, or (c) any financial institution established</w:t>
      </w:r>
      <w:r>
        <w:rPr>
          <w:rFonts w:ascii="Arial" w:cs="Arial" w:eastAsia="Arial" w:hAnsi="Arial"/>
          <w:sz w:val="20"/>
          <w:szCs w:val="20"/>
          <w:color w:val="0000FF"/>
        </w:rPr>
        <w:t xml:space="preserve"> </w:t>
      </w:r>
      <w:r>
        <w:rPr>
          <w:rFonts w:ascii="Arial" w:cs="Arial" w:eastAsia="Arial" w:hAnsi="Arial"/>
          <w:sz w:val="20"/>
          <w:szCs w:val="20"/>
          <w:color w:val="000000"/>
        </w:rPr>
        <w:t xml:space="preserve">in an EEA Member Country </w:t>
      </w:r>
      <w:r>
        <w:rPr>
          <w:rFonts w:ascii="Arial" w:cs="Arial" w:eastAsia="Arial" w:hAnsi="Arial"/>
          <w:sz w:val="20"/>
          <w:szCs w:val="20"/>
          <w:u w:val="single" w:color="auto"/>
          <w:color w:val="0000FF"/>
        </w:rPr>
        <w:t>or the United Kingdom</w:t>
      </w:r>
      <w:r>
        <w:rPr>
          <w:rFonts w:ascii="Arial" w:cs="Arial" w:eastAsia="Arial" w:hAnsi="Arial"/>
          <w:sz w:val="20"/>
          <w:szCs w:val="20"/>
          <w:color w:val="000000"/>
        </w:rPr>
        <w:t xml:space="preserve"> which is a subsidiary of an institution described in clauses (a) or (b) of this definition and is subject to consolidated supervision with its parent.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48" w:lineRule="exact"/>
        <w:rPr>
          <w:sz w:val="20"/>
          <w:szCs w:val="20"/>
          <w:color w:val="auto"/>
        </w:rPr>
      </w:pPr>
    </w:p>
    <w:p>
      <w:pPr>
        <w:ind w:right="40" w:firstLine="648"/>
        <w:spacing w:after="0" w:line="269"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EEA Resolution Authority</w:t>
      </w:r>
      <w:r>
        <w:rPr>
          <w:rFonts w:ascii="Arial" w:cs="Arial" w:eastAsia="Arial" w:hAnsi="Arial"/>
          <w:sz w:val="18"/>
          <w:szCs w:val="18"/>
          <w:color w:val="FF0000"/>
          <w:strike w:val="1"/>
        </w:rPr>
        <w:t>” means any public administrative authority or any person entrusted with public administrative authority of any EEA Member Country (including any delegee) having responsibility for the resolution of any EEA Financial Institution.</w:t>
      </w:r>
    </w:p>
    <w:p>
      <w:pPr>
        <w:spacing w:after="0" w:line="117" w:lineRule="exact"/>
        <w:rPr>
          <w:sz w:val="20"/>
          <w:szCs w:val="20"/>
          <w:color w:val="auto"/>
        </w:rPr>
      </w:pPr>
    </w:p>
    <w:p>
      <w:pPr>
        <w:ind w:right="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55" w:lineRule="exact"/>
        <w:rPr>
          <w:sz w:val="20"/>
          <w:szCs w:val="20"/>
          <w:color w:val="auto"/>
        </w:rPr>
      </w:pPr>
    </w:p>
    <w:p>
      <w:pPr>
        <w:ind w:right="40" w:firstLine="648"/>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Electronic System</w:t>
      </w:r>
      <w:r>
        <w:rPr>
          <w:rFonts w:ascii="Arial" w:cs="Arial" w:eastAsia="Arial" w:hAnsi="Arial"/>
          <w:sz w:val="18"/>
          <w:szCs w:val="18"/>
          <w:color w:val="auto"/>
        </w:rPr>
        <w:t>” means any electronic system, including e-mail, e-fax, Intralinks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ClearPar® and any other Internet or extranet-based site, whether such electronic system is owned, operated or hosted by the Administrative Agent and the Issuing Bank and any of its respective Related Persons or any other Person, providing for access to data protected by passcodes or other security systems.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Assignee</w:t>
      </w:r>
      <w:r>
        <w:rPr>
          <w:rFonts w:ascii="Arial" w:cs="Arial" w:eastAsia="Arial" w:hAnsi="Arial"/>
          <w:sz w:val="18"/>
          <w:szCs w:val="18"/>
          <w:color w:val="auto"/>
        </w:rPr>
        <w:t>” means (i) a Lender (other than a Defaulting Lender), (ii) an Affiliate of a Lender, (iii) an Approved Fund, and</w:t>
      </w:r>
    </w:p>
    <w:p>
      <w:pPr>
        <w:ind w:right="200" w:firstLine="8"/>
        <w:spacing w:after="0" w:line="206" w:lineRule="auto"/>
        <w:tabs>
          <w:tab w:leader="none" w:pos="335"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any other Person (other than a natural Person) approved by (A) the Administrative Agent, (B) the Issuing Bank in the case of an assignment of a Revolving Commitment, and (C) unless an Event of Default under Section 7.01(a), (b), (h) or (i) has occurred and is continuing, the Company (each such approval not to be unreasonably withheld or delayed);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notwithstanding the foregoing, “</w:t>
      </w:r>
      <w:r>
        <w:rPr>
          <w:rFonts w:ascii="Arial" w:cs="Arial" w:eastAsia="Arial" w:hAnsi="Arial"/>
          <w:sz w:val="20"/>
          <w:szCs w:val="20"/>
          <w:b w:val="1"/>
          <w:bCs w:val="1"/>
          <w:i w:val="1"/>
          <w:iCs w:val="1"/>
          <w:color w:val="auto"/>
        </w:rPr>
        <w:t>Eligible Assignee</w:t>
      </w:r>
      <w:r>
        <w:rPr>
          <w:rFonts w:ascii="Arial" w:cs="Arial" w:eastAsia="Arial" w:hAnsi="Arial"/>
          <w:sz w:val="20"/>
          <w:szCs w:val="20"/>
          <w:color w:val="auto"/>
        </w:rPr>
        <w:t xml:space="preserve">” shall not include (a) the Company or any of the Company’s Affiliates or Subsidiaries </w:t>
      </w:r>
      <w:r>
        <w:rPr>
          <w:rFonts w:ascii="Arial" w:cs="Arial" w:eastAsia="Arial" w:hAnsi="Arial"/>
          <w:sz w:val="20"/>
          <w:szCs w:val="20"/>
          <w:color w:val="FF0000"/>
        </w:rPr>
        <w:t>or</w:t>
      </w:r>
      <w:r>
        <w:rPr>
          <w:rFonts w:ascii="Arial" w:cs="Arial" w:eastAsia="Arial" w:hAnsi="Arial"/>
          <w:sz w:val="20"/>
          <w:szCs w:val="20"/>
          <w:u w:val="single" w:color="auto"/>
          <w:color w:val="0000FF"/>
        </w:rPr>
        <w:t>,</w:t>
      </w:r>
      <w:r>
        <w:rPr>
          <w:rFonts w:ascii="Arial" w:cs="Arial" w:eastAsia="Arial" w:hAnsi="Arial"/>
          <w:sz w:val="20"/>
          <w:szCs w:val="20"/>
          <w:color w:val="auto"/>
        </w:rPr>
        <w:t xml:space="preserve"> (b) any </w:t>
      </w:r>
      <w:r>
        <w:rPr>
          <w:rFonts w:ascii="Arial" w:cs="Arial" w:eastAsia="Arial" w:hAnsi="Arial"/>
          <w:sz w:val="20"/>
          <w:szCs w:val="20"/>
          <w:u w:val="single" w:color="auto"/>
          <w:color w:val="0000FF"/>
        </w:rPr>
        <w:t>Defaulting</w:t>
      </w:r>
      <w:r>
        <w:rPr>
          <w:rFonts w:ascii="Arial" w:cs="Arial" w:eastAsia="Arial" w:hAnsi="Arial"/>
          <w:sz w:val="20"/>
          <w:szCs w:val="20"/>
          <w:color w:val="auto"/>
        </w:rPr>
        <w:t xml:space="preserve"> </w:t>
      </w:r>
      <w:r>
        <w:rPr>
          <w:rFonts w:ascii="Arial" w:cs="Arial" w:eastAsia="Arial" w:hAnsi="Arial"/>
          <w:sz w:val="20"/>
          <w:szCs w:val="20"/>
          <w:u w:val="single" w:color="auto"/>
          <w:color w:val="0000FF"/>
        </w:rPr>
        <w:t>Lender or (c) any</w:t>
      </w:r>
      <w:r>
        <w:rPr>
          <w:rFonts w:ascii="Arial" w:cs="Arial" w:eastAsia="Arial" w:hAnsi="Arial"/>
          <w:sz w:val="20"/>
          <w:szCs w:val="20"/>
          <w:color w:val="0000FF"/>
        </w:rPr>
        <w:t xml:space="preserve"> </w:t>
      </w:r>
      <w:r>
        <w:rPr>
          <w:rFonts w:ascii="Arial" w:cs="Arial" w:eastAsia="Arial" w:hAnsi="Arial"/>
          <w:sz w:val="20"/>
          <w:szCs w:val="20"/>
          <w:color w:val="000000"/>
        </w:rPr>
        <w:t>Competitor.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5861050</wp:posOffset>
            </wp:positionH>
            <wp:positionV relativeFrom="paragraph">
              <wp:posOffset>-188595</wp:posOffset>
            </wp:positionV>
            <wp:extent cx="135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11" w:lineRule="exact"/>
        <w:rPr>
          <w:sz w:val="20"/>
          <w:szCs w:val="20"/>
          <w:color w:val="auto"/>
        </w:rPr>
      </w:pPr>
    </w:p>
    <w:p>
      <w:pPr>
        <w:ind w:right="140"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 means all laws, rules, regulations, codes, ordinances, orders, decrees, or other binding requirements issued, promulgated or entered into by any Governmental Authority, relating to pollution, the preservation or protection of the environment or natural resources, the generation, manufacture, use, labeling, treatment, storage, handling, transportation or Release of any Hazardous Material or, to the extent involving or related to any of the foregoing, health and safety matters.</w:t>
      </w:r>
    </w:p>
    <w:p>
      <w:pPr>
        <w:spacing w:after="0" w:line="144" w:lineRule="exact"/>
        <w:rPr>
          <w:sz w:val="20"/>
          <w:szCs w:val="20"/>
          <w:color w:val="auto"/>
        </w:rPr>
      </w:pPr>
    </w:p>
    <w:p>
      <w:pPr>
        <w:ind w:right="20" w:firstLine="648"/>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Liability</w:t>
      </w:r>
      <w:r>
        <w:rPr>
          <w:rFonts w:ascii="Arial" w:cs="Arial" w:eastAsia="Arial" w:hAnsi="Arial"/>
          <w:sz w:val="18"/>
          <w:szCs w:val="18"/>
          <w:color w:val="auto"/>
        </w:rPr>
        <w:t>” means any liability (including any liability for damages, costs of environmental remediation, fines, penalties or indemnities), of the Company or any Subsidiary directly or indirectly resulting from or based upon (a) noncompliance with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-12-</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00"/>
          </w:cols>
          <w:pgMar w:left="320" w:top="1405" w:right="379" w:bottom="1440" w:gutter="0" w:footer="0" w:header="0"/>
        </w:sectPr>
      </w:pPr>
    </w:p>
    <w:bookmarkStart w:id="80" w:name="page81"/>
    <w:bookmarkEnd w:id="80"/>
    <w:p>
      <w:pPr>
        <w:ind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Equity Interest</w:t>
      </w:r>
      <w:r>
        <w:rPr>
          <w:rFonts w:ascii="Arial" w:cs="Arial" w:eastAsia="Arial" w:hAnsi="Arial"/>
          <w:sz w:val="19"/>
          <w:szCs w:val="19"/>
          <w:color w:val="auto"/>
        </w:rPr>
        <w:t>” means,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or any other interest or participation that confers on a Person the right to receive a share of the profits and losses of, or distributions of assets of, such partnership, but in no event will Equity Interest include any debt securities convertible or exchangeable into equity unless and until actually converted or exchanged.</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means the Employee Retirement Income Security Act of 1974, as amended from time to time.</w:t>
      </w:r>
    </w:p>
    <w:p>
      <w:pPr>
        <w:spacing w:after="0" w:line="148" w:lineRule="exact"/>
        <w:rPr>
          <w:sz w:val="20"/>
          <w:szCs w:val="20"/>
          <w:color w:val="auto"/>
        </w:rPr>
      </w:pPr>
    </w:p>
    <w:p>
      <w:pPr>
        <w:jc w:val="both"/>
        <w:ind w:right="6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 Affiliate</w:t>
      </w:r>
      <w:r>
        <w:rPr>
          <w:rFonts w:ascii="Arial" w:cs="Arial" w:eastAsia="Arial" w:hAnsi="Arial"/>
          <w:sz w:val="20"/>
          <w:szCs w:val="20"/>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43" w:lineRule="exact"/>
        <w:rPr>
          <w:sz w:val="20"/>
          <w:szCs w:val="20"/>
          <w:color w:val="auto"/>
        </w:rPr>
      </w:pPr>
    </w:p>
    <w:p>
      <w:pPr>
        <w:ind w:right="28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 day notice period is waived); (b) the failure of the Company or any of its ERISA Affiliates to satisfy the minimum funding standard of Section 412 and 430 of the Code or Sections 302 or 303 of ERISA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-13-</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180"/>
          </w:cols>
          <w:pgMar w:left="320" w:top="1405" w:right="399" w:bottom="1440" w:gutter="0" w:footer="0" w:header="0"/>
        </w:sectPr>
      </w:pPr>
    </w:p>
    <w:bookmarkStart w:id="81" w:name="page82"/>
    <w:bookmarkEnd w:id="81"/>
    <w:p>
      <w:pPr>
        <w:ind w:right="120"/>
        <w:spacing w:after="0" w:line="227" w:lineRule="auto"/>
        <w:rPr>
          <w:sz w:val="20"/>
          <w:szCs w:val="20"/>
          <w:color w:val="auto"/>
        </w:rPr>
      </w:pPr>
      <w:r>
        <w:rPr>
          <w:rFonts w:ascii="Arial" w:cs="Arial" w:eastAsia="Arial" w:hAnsi="Arial"/>
          <w:sz w:val="18"/>
          <w:szCs w:val="18"/>
          <w:color w:val="auto"/>
        </w:rPr>
        <w:t>any Plan, whether or not waived; (c) the filing pursuant to Section 412(c) of the Code or Section 303(c) of ERISA of an application for a waiver of the minimum funding standard with respect to any Plan; (d) the incurrence by the Company or any of its ERISA Affiliates of any liability under Title IV of ERISA (other than for PBGC premiums due but not delinquent under Section 4007 of ERISA) with respect to the termination of any Plan; (e) the receipt by the Company or any ERISA Affiliate from the PBGC or a plan administrator of any notice of intent to terminate any Plan or Plans or to appoint a trustee to administer any Plan; (f) the incurrence by the Company or any of its ERISA Affiliates of any liability with respect to the withdrawal or partial withdrawal (within the meanings of Sections 4203 and 4205 of ERISA) from any Multiemployer Plan; or (g)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or in reorganization, within the meaning of Title IV of ERISA.</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Erroneous Payment</w:t>
      </w:r>
      <w:r>
        <w:rPr>
          <w:rFonts w:ascii="Arial" w:cs="Arial" w:eastAsia="Arial" w:hAnsi="Arial"/>
          <w:sz w:val="20"/>
          <w:szCs w:val="20"/>
          <w:u w:val="single" w:color="auto"/>
          <w:color w:val="0000FF"/>
        </w:rPr>
        <w:t>” has the meaning assigned to it in Section 8.02(a).</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Erroneous Payment Deficiency Assignment</w:t>
      </w:r>
      <w:r>
        <w:rPr>
          <w:rFonts w:ascii="Arial" w:cs="Arial" w:eastAsia="Arial" w:hAnsi="Arial"/>
          <w:sz w:val="20"/>
          <w:szCs w:val="20"/>
          <w:u w:val="single" w:color="auto"/>
          <w:color w:val="0000FF"/>
        </w:rPr>
        <w:t>” has the meaning assigned to it in Section 8.02(d)(i).</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Erroneous Payment Impacted Class</w:t>
      </w:r>
      <w:r>
        <w:rPr>
          <w:rFonts w:ascii="Arial" w:cs="Arial" w:eastAsia="Arial" w:hAnsi="Arial"/>
          <w:sz w:val="20"/>
          <w:szCs w:val="20"/>
          <w:u w:val="single" w:color="auto"/>
          <w:color w:val="0000FF"/>
        </w:rPr>
        <w:t>” has the meaning assigned to it in Section 8.02(d)(i).</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Erroneous Payment Return Deficiency</w:t>
      </w:r>
      <w:r>
        <w:rPr>
          <w:rFonts w:ascii="Arial" w:cs="Arial" w:eastAsia="Arial" w:hAnsi="Arial"/>
          <w:sz w:val="20"/>
          <w:szCs w:val="20"/>
          <w:u w:val="single" w:color="auto"/>
          <w:color w:val="0000FF"/>
        </w:rPr>
        <w:t>” has the meaning assigned to it in Section 8.02(d)(i).</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Erroneous Payment Subrogation Rights</w:t>
      </w:r>
      <w:r>
        <w:rPr>
          <w:rFonts w:ascii="Arial" w:cs="Arial" w:eastAsia="Arial" w:hAnsi="Arial"/>
          <w:sz w:val="20"/>
          <w:szCs w:val="20"/>
          <w:u w:val="single" w:color="auto"/>
          <w:color w:val="0000FF"/>
        </w:rPr>
        <w:t>” has the meaning assigned to it in Section 8.02(e).</w:t>
      </w:r>
    </w:p>
    <w:p>
      <w:pPr>
        <w:spacing w:after="0" w:line="162" w:lineRule="exact"/>
        <w:rPr>
          <w:sz w:val="20"/>
          <w:szCs w:val="20"/>
          <w:color w:val="auto"/>
        </w:rPr>
      </w:pPr>
    </w:p>
    <w:p>
      <w:pPr>
        <w:ind w:right="1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42" w:lineRule="exact"/>
        <w:rPr>
          <w:sz w:val="20"/>
          <w:szCs w:val="20"/>
          <w:color w:val="auto"/>
        </w:rPr>
      </w:pPr>
    </w:p>
    <w:p>
      <w:pPr>
        <w:ind w:right="6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Eurodollar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Adjusted LIBO Rate.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Event of Default</w:t>
      </w:r>
      <w:r>
        <w:rPr>
          <w:rFonts w:ascii="Arial" w:cs="Arial" w:eastAsia="Arial" w:hAnsi="Arial"/>
          <w:sz w:val="20"/>
          <w:szCs w:val="20"/>
          <w:color w:val="auto"/>
        </w:rPr>
        <w:t>” has the meaning assigned to such term in Section 7.01.</w:t>
      </w:r>
    </w:p>
    <w:p>
      <w:pPr>
        <w:spacing w:after="0" w:line="162" w:lineRule="exact"/>
        <w:rPr>
          <w:sz w:val="20"/>
          <w:szCs w:val="20"/>
          <w:color w:val="auto"/>
        </w:rPr>
      </w:pPr>
    </w:p>
    <w:p>
      <w:pPr>
        <w:ind w:firstLine="648"/>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Event of Loss</w:t>
      </w:r>
      <w:r>
        <w:rPr>
          <w:rFonts w:ascii="Arial" w:cs="Arial" w:eastAsia="Arial" w:hAnsi="Arial"/>
          <w:sz w:val="19"/>
          <w:szCs w:val="19"/>
          <w:color w:val="auto"/>
        </w:rPr>
        <w:t>” means, with respect to any property, (i) the actual or constructive total loss of such property or the use thereof, resulting from destruction, damage beyond repair, or the rendition of such property permanently unfit for normal use from any casualty or similar occurrence whatsoever, (ii) the destruction or damage of a portion of such property from any casualty or similar occurrence whatsoever under circumstances in which such damage cannot reasonably be expected to be repaired, or such property cannot reasonably be expected to be restored to its condition immediately prior to such destruction or damage, within 90 days after the occurrence of such destruction or damage, (iii) the condemnation, confiscation or seizure of, or requisition of title to or use of, any property, or (iv) in the case of any property located upon a leasehold, the termination or expiration of such leasehold.</w:t>
      </w:r>
    </w:p>
    <w:p>
      <w:pPr>
        <w:spacing w:after="0" w:line="14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u w:val="single" w:color="auto"/>
          <w:color w:val="E36C0A"/>
        </w:rPr>
        <w:t>“</w:t>
      </w:r>
      <w:r>
        <w:rPr>
          <w:rFonts w:ascii="Arial" w:cs="Arial" w:eastAsia="Arial" w:hAnsi="Arial"/>
          <w:sz w:val="18"/>
          <w:szCs w:val="18"/>
          <w:b w:val="1"/>
          <w:bCs w:val="1"/>
          <w:i w:val="1"/>
          <w:iCs w:val="1"/>
          <w:u w:val="single" w:color="auto"/>
          <w:color w:val="E36C0A"/>
        </w:rPr>
        <w:t>Excluded Subsidiary</w:t>
      </w:r>
      <w:r>
        <w:rPr>
          <w:rFonts w:ascii="Arial" w:cs="Arial" w:eastAsia="Arial" w:hAnsi="Arial"/>
          <w:sz w:val="18"/>
          <w:szCs w:val="18"/>
          <w:u w:val="single" w:color="auto"/>
          <w:color w:val="E36C0A"/>
        </w:rPr>
        <w:t>” means (a) any Foreign Subsidiary, (b) any non-wholly owned Subsidiary, (c) any Domestic Subsidiary that is not a Material Subsidiary, (d) any captive insurance company that is a Subsidiary, (e) any special purpose entity created or acquired in connection with, or which issues Indebtedness under, any Permitted Securitization Transaction and (f) any Subsidiary a guarantee by which would cause adverse tax consequences to the Company or any of its Subsidiaries as reasonably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-14-</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00"/>
          </w:cols>
          <w:pgMar w:left="320" w:top="1405" w:right="379" w:bottom="1440" w:gutter="0" w:footer="0" w:header="0"/>
        </w:sectPr>
      </w:pPr>
    </w:p>
    <w:bookmarkStart w:id="82" w:name="page83"/>
    <w:bookmarkEnd w:id="82"/>
    <w:p>
      <w:pPr>
        <w:ind w:right="60"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Swap Obligation</w:t>
      </w:r>
      <w:r>
        <w:rPr>
          <w:rFonts w:ascii="Arial" w:cs="Arial" w:eastAsia="Arial" w:hAnsi="Arial"/>
          <w:sz w:val="18"/>
          <w:szCs w:val="18"/>
          <w:color w:val="auto"/>
        </w:rPr>
        <w:t xml:space="preserve">” means, with respect to any Borrower or any Subsidiary Guarantor, (x) as it relates to all or a portion of the Subsidiary Guaranty of such Subsidiary Guarantor or </w:t>
      </w:r>
      <w:r>
        <w:rPr>
          <w:rFonts w:ascii="Arial" w:cs="Arial" w:eastAsia="Arial" w:hAnsi="Arial"/>
          <w:sz w:val="18"/>
          <w:szCs w:val="18"/>
          <w:u w:val="single" w:color="auto"/>
          <w:color w:val="0000FF"/>
        </w:rPr>
        <w:t>the Guaranty in Article IX hereof of</w:t>
      </w:r>
      <w:r>
        <w:rPr>
          <w:rFonts w:ascii="Arial" w:cs="Arial" w:eastAsia="Arial" w:hAnsi="Arial"/>
          <w:sz w:val="18"/>
          <w:szCs w:val="18"/>
          <w:color w:val="auto"/>
        </w:rPr>
        <w:t xml:space="preserve"> such Borrower,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Subsidiary Guarantor’s or such Borrower’s failure for any reason to constitute an “eligible contract participant” as defined in the Commodity Exchange Act and the regulations thereunder at the time the guarantee of such Subsidiary Guarantor or such Borrower becomes effective with respect to such Swap Obligation or (y) as it relates to all or a portion of the grant by such Subsidiary Guarantor or such Borrower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Subsidiary Guarantor’s or such Borrower’s failure for any reason to constitute an “eligible contract participant” as defined in the Commodity Exchange Act and the regulations thereunder at the time the security interest of such Subsidiary Guarantor or such Borrower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4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E36C0A"/>
          <w:strike w:val="1"/>
        </w:rPr>
        <w:t>“</w:t>
      </w:r>
      <w:r>
        <w:rPr>
          <w:rFonts w:ascii="Arial" w:cs="Arial" w:eastAsia="Arial" w:hAnsi="Arial"/>
          <w:sz w:val="18"/>
          <w:szCs w:val="18"/>
          <w:b w:val="1"/>
          <w:bCs w:val="1"/>
          <w:i w:val="1"/>
          <w:iCs w:val="1"/>
          <w:color w:val="E36C0A"/>
          <w:strike w:val="1"/>
        </w:rPr>
        <w:t>Excluded Subsidiary</w:t>
      </w:r>
      <w:r>
        <w:rPr>
          <w:rFonts w:ascii="Arial" w:cs="Arial" w:eastAsia="Arial" w:hAnsi="Arial"/>
          <w:sz w:val="18"/>
          <w:szCs w:val="18"/>
          <w:color w:val="E36C0A"/>
          <w:strike w:val="1"/>
        </w:rPr>
        <w:t>” means (a) any Foreign Subsidiary, (b) any nonwholly owned Subsidiary, (c) any Domestic Subsidiary that is not a Material Subsidiary, (d) any captive insurance company that is a Subsidiary, (e) any special purpose entity created or acquired in connection with, or which issues Indebtedness under, any Permitted Securitization Transaction and (f) any Subsidiary a guarantee by which would cause adverse tax consequences to the Company or any of its Subsidiaries as reasonably determined by the Company.</w:t>
      </w:r>
    </w:p>
    <w:p>
      <w:pPr>
        <w:spacing w:after="0" w:line="131"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Recipient, U.S. federal Taxes imposed on amounts payable to or for the account of such Recipient pursuant to a law in effect on the date on which (i) such Recipient acquires such interest in the Loan or Commitment or becomes a party to this Agreement (other than pursuant to an assignment request by a Borrower under Section 2.19(b)) or (ii) such Recipient (if the Recipient is a Lender) changes its lending office, except in each case to the extent that, pursuant to Section 2.17, amounts with respect to such Taxes were payable either to such Recipient’s assignor immediately before such Recipient acquired such interest in the Loan or Commitment or became a party hereto or to such Recipient immediately before it changed its lending office, (c) Taxes attributable to such Recipient’s failure to comply with Section 2.17(f) and (g), and (d) any U.S. federal Taxes imposed under FATCA.</w:t>
      </w:r>
    </w:p>
    <w:p>
      <w:pPr>
        <w:spacing w:after="0" w:line="147"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Credit Agreement</w:t>
      </w:r>
      <w:r>
        <w:rPr>
          <w:rFonts w:ascii="Arial" w:cs="Arial" w:eastAsia="Arial" w:hAnsi="Arial"/>
          <w:sz w:val="20"/>
          <w:szCs w:val="20"/>
          <w:color w:val="auto"/>
        </w:rPr>
        <w:t>” means that certain Revolving Credit and Term Loan Agreement, dated as of March 1, 2016, among the Company, the other borrowers party thereto, the lenders party thereto, KeyBank National Association, as administrative agent, and the other parties thereto, as amended, supplemented or otherwise modified through the date hereof.</w:t>
      </w:r>
    </w:p>
    <w:p>
      <w:pPr>
        <w:spacing w:after="0" w:line="143" w:lineRule="exact"/>
        <w:rPr>
          <w:sz w:val="20"/>
          <w:szCs w:val="20"/>
          <w:color w:val="auto"/>
        </w:rPr>
      </w:pPr>
    </w:p>
    <w:p>
      <w:pPr>
        <w:ind w:right="2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DNB Term Loan Agreement</w:t>
      </w:r>
      <w:r>
        <w:rPr>
          <w:rFonts w:ascii="Arial" w:cs="Arial" w:eastAsia="Arial" w:hAnsi="Arial"/>
          <w:sz w:val="20"/>
          <w:szCs w:val="20"/>
          <w:color w:val="auto"/>
        </w:rPr>
        <w:t>” means that certain Loan Agreement, dated as of November 1, 2017, among the Company, the lenders party thereto and DNB Bank ASA,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-15-</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83" w:name="page84"/>
    <w:bookmarkEnd w:id="8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Revolving Commitments</w:t>
      </w:r>
      <w:r>
        <w:rPr>
          <w:rFonts w:ascii="Arial" w:cs="Arial" w:eastAsia="Arial" w:hAnsi="Arial"/>
          <w:sz w:val="20"/>
          <w:szCs w:val="20"/>
          <w:color w:val="auto"/>
        </w:rPr>
        <w:t>” has the meaning assigned to such term in Section 2.04.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Revolving Loan Lender</w:t>
      </w:r>
      <w:r>
        <w:rPr>
          <w:rFonts w:ascii="Arial" w:cs="Arial" w:eastAsia="Arial" w:hAnsi="Arial"/>
          <w:sz w:val="20"/>
          <w:szCs w:val="20"/>
          <w:color w:val="auto"/>
        </w:rPr>
        <w:t>” has the meaning assigned to such term in Section 2.04.</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Term Loan</w:t>
      </w:r>
      <w:r>
        <w:rPr>
          <w:rFonts w:ascii="Arial" w:cs="Arial" w:eastAsia="Arial" w:hAnsi="Arial"/>
          <w:sz w:val="20"/>
          <w:szCs w:val="20"/>
          <w:color w:val="auto"/>
        </w:rPr>
        <w:t>” has the meaning assigned to such term in Section 2.04.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Term Loan Commitments</w:t>
      </w:r>
      <w:r>
        <w:rPr>
          <w:rFonts w:ascii="Arial" w:cs="Arial" w:eastAsia="Arial" w:hAnsi="Arial"/>
          <w:sz w:val="20"/>
          <w:szCs w:val="20"/>
          <w:color w:val="auto"/>
        </w:rPr>
        <w:t>” has the meaning assigned to such term in Section 2.04.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Incremental Term Loan Lender</w:t>
      </w:r>
      <w:r>
        <w:rPr>
          <w:rFonts w:ascii="Arial" w:cs="Arial" w:eastAsia="Arial" w:hAnsi="Arial"/>
          <w:sz w:val="20"/>
          <w:szCs w:val="20"/>
          <w:color w:val="auto"/>
        </w:rPr>
        <w:t>” has the meaning assigned to such term in Section 2.04.</w:t>
      </w:r>
    </w:p>
    <w:p>
      <w:pPr>
        <w:spacing w:after="0" w:line="148"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Guaranty Obligations of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for purposes of Section 6.04 and</w:t>
      </w:r>
    </w:p>
    <w:p>
      <w:pPr>
        <w:spacing w:after="0" w:line="18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Section 7.01(g) only, all net obligations of such Person under any Hedge Agreement. The Indebtedness of any Person shall include the Indebtedness of any partnership or joint venture (other than a joint venture that is itself a corporation or limited liability company) in which such Person is a general partner or joint venturer, unless such Indebtedness is expressly made non-recourse to such Person.</w:t>
      </w:r>
    </w:p>
    <w:p>
      <w:pPr>
        <w:spacing w:after="0" w:line="143" w:lineRule="exact"/>
        <w:rPr>
          <w:sz w:val="20"/>
          <w:szCs w:val="20"/>
          <w:color w:val="auto"/>
        </w:rPr>
      </w:pPr>
    </w:p>
    <w:p>
      <w:pPr>
        <w:ind w:right="400" w:firstLine="648"/>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70" w:lineRule="exact"/>
        <w:rPr>
          <w:sz w:val="20"/>
          <w:szCs w:val="20"/>
          <w:color w:val="auto"/>
        </w:rPr>
      </w:pPr>
    </w:p>
    <w:p>
      <w:pPr>
        <w:ind w:right="200" w:firstLine="648"/>
        <w:spacing w:after="0" w:line="229"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Index Debt</w:t>
      </w:r>
      <w:r>
        <w:rPr>
          <w:rFonts w:ascii="Arial" w:cs="Arial" w:eastAsia="Arial" w:hAnsi="Arial"/>
          <w:sz w:val="20"/>
          <w:szCs w:val="20"/>
          <w:color w:val="FF0000"/>
          <w:strike w:val="1"/>
        </w:rPr>
        <w:t>” means senior, unsecured, long term indebtedness for borrowed money of any Borrower that is not guaranteed by any other Person or subject to any other credit enhancement.</w:t>
      </w:r>
    </w:p>
    <w:p>
      <w:pPr>
        <w:spacing w:after="0" w:line="128" w:lineRule="exact"/>
        <w:rPr>
          <w:sz w:val="20"/>
          <w:szCs w:val="20"/>
          <w:color w:val="auto"/>
        </w:rPr>
      </w:pPr>
    </w:p>
    <w:p>
      <w:pPr>
        <w:ind w:right="7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Coverage Ratio</w:t>
      </w:r>
      <w:r>
        <w:rPr>
          <w:rFonts w:ascii="Arial" w:cs="Arial" w:eastAsia="Arial" w:hAnsi="Arial"/>
          <w:sz w:val="20"/>
          <w:szCs w:val="20"/>
          <w:color w:val="auto"/>
        </w:rPr>
        <w:t>” means, for any Testing Period, the ratio of (i) Consolidated EBITDA to (ii) Consolidated Interest Expense, calculated on a Pro Forma Basis.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Election Request</w:t>
      </w:r>
      <w:r>
        <w:rPr>
          <w:rFonts w:ascii="Arial" w:cs="Arial" w:eastAsia="Arial" w:hAnsi="Arial"/>
          <w:sz w:val="18"/>
          <w:szCs w:val="18"/>
          <w:color w:val="auto"/>
        </w:rPr>
        <w:t>” means a request by a Borrower to convert or continue a Borrowing in accordance with Section 2.08.</w:t>
      </w:r>
    </w:p>
    <w:p>
      <w:pPr>
        <w:spacing w:after="0" w:line="185" w:lineRule="exact"/>
        <w:rPr>
          <w:sz w:val="20"/>
          <w:szCs w:val="20"/>
          <w:color w:val="auto"/>
        </w:rPr>
      </w:pPr>
    </w:p>
    <w:p>
      <w:pPr>
        <w:ind w:right="120"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Payment Date</w:t>
      </w:r>
      <w:r>
        <w:rPr>
          <w:rFonts w:ascii="Arial" w:cs="Arial" w:eastAsia="Arial" w:hAnsi="Arial"/>
          <w:sz w:val="20"/>
          <w:szCs w:val="20"/>
          <w:color w:val="auto"/>
        </w:rPr>
        <w:t>” means (a) with respect to any ABR Loan (other than a Swingline Loan), the last day of each March, June, September and December, (b) with respect to any Eurodollar Loan (other than a Swingline Loan) or Foreign Currency Loan, the last day of the Interest Period applicable to the Borrowing of which such Loan is a part and, in the case of a Eurodollar Borrowing or Foreign Currency Borrowing with an Interest Period of more than three months’ duration, each day prior to the last day of such Interest Period that occurs at intervals of three months’ duration after the first day of such Interest Period, and (c) with respect to any Swingline Loan, the day that such Loan is required to be repaid.</w:t>
      </w:r>
    </w:p>
    <w:p>
      <w:pPr>
        <w:spacing w:after="0" w:line="133" w:lineRule="exact"/>
        <w:rPr>
          <w:sz w:val="20"/>
          <w:szCs w:val="20"/>
          <w:color w:val="auto"/>
        </w:rPr>
      </w:pPr>
    </w:p>
    <w:p>
      <w:pPr>
        <w:ind w:right="1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Period</w:t>
      </w:r>
      <w:r>
        <w:rPr>
          <w:rFonts w:ascii="Arial" w:cs="Arial" w:eastAsia="Arial" w:hAnsi="Arial"/>
          <w:sz w:val="20"/>
          <w:szCs w:val="20"/>
          <w:color w:val="auto"/>
        </w:rPr>
        <w:t>” means, with respect to any Eurodollar Borrowing or Foreign Currency Borrowing, the period commencing on the date of such Borrowing and ending on the numerically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-18-</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84" w:name="page85"/>
    <w:bookmarkEnd w:id="84"/>
    <w:p>
      <w:pPr>
        <w:ind w:right="60"/>
        <w:spacing w:after="0" w:line="226" w:lineRule="auto"/>
        <w:rPr>
          <w:sz w:val="20"/>
          <w:szCs w:val="20"/>
          <w:color w:val="auto"/>
        </w:rPr>
      </w:pPr>
      <w:r>
        <w:rPr>
          <w:rFonts w:ascii="Arial" w:cs="Arial" w:eastAsia="Arial" w:hAnsi="Arial"/>
          <w:sz w:val="18"/>
          <w:szCs w:val="18"/>
          <w:color w:val="auto"/>
        </w:rPr>
        <w:t xml:space="preserve">corresponding day in the calendar month that is one, </w:t>
      </w:r>
      <w:r>
        <w:rPr>
          <w:rFonts w:ascii="Arial" w:cs="Arial" w:eastAsia="Arial" w:hAnsi="Arial"/>
          <w:sz w:val="18"/>
          <w:szCs w:val="18"/>
          <w:color w:val="FF0000"/>
          <w:strike w:val="1"/>
        </w:rPr>
        <w:t>two,</w:t>
      </w:r>
      <w:r>
        <w:rPr>
          <w:rFonts w:ascii="Arial" w:cs="Arial" w:eastAsia="Arial" w:hAnsi="Arial"/>
          <w:sz w:val="18"/>
          <w:szCs w:val="18"/>
          <w:color w:val="auto"/>
        </w:rPr>
        <w:t xml:space="preserve"> three or six months thereafter (or, if agreed to by the Administrative Agent, ending on a day that is less than one month thereafter), as the applicable Borrower may elect; provided, that (i) if any Interest Period would end on a day other than a Business Day, such Interest Period shall be extended to the next succeeding Business Day unless, in the case of a Eurodollar Borrowing or Foreign Currency Borrowing only, such next succeeding Business Day would fall in the next calendar month, in which case such Interest Period shall end on the immediately preceding Business Day, (ii) any Interest Period pertaining to a Eurodollar Borrowing or Foreign 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then applicable Maturity Date for such Facility. For purposes hereof, the date of a Borrowing initially shall be the date on which such Borrowing is made and, in the case of a Revolving or Term Borrowing, thereafter shall be the effective date of the most recent conversion or continuation of such Borrowing.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means the United States Internal Revenue Service.</w:t>
      </w:r>
    </w:p>
    <w:p>
      <w:pPr>
        <w:spacing w:after="0" w:line="148" w:lineRule="exact"/>
        <w:rPr>
          <w:sz w:val="20"/>
          <w:szCs w:val="20"/>
          <w:color w:val="auto"/>
        </w:rPr>
      </w:pPr>
    </w:p>
    <w:p>
      <w:pPr>
        <w:ind w:firstLine="648"/>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Issuing Bank</w:t>
      </w:r>
      <w:r>
        <w:rPr>
          <w:rFonts w:ascii="Arial" w:cs="Arial" w:eastAsia="Arial" w:hAnsi="Arial"/>
          <w:sz w:val="20"/>
          <w:szCs w:val="20"/>
          <w:color w:val="auto"/>
        </w:rPr>
        <w:t>” means KeyBank National Association or any of its Affiliates, in its capacity as the issuer of Letters of Credit hereunder, and its successors in such capacity as provided in Section 2.06(i). The Issuing Bank may, in its discretion, arrange for one or more Letters of Credit to be issued by Affiliates of the Issuing Bank, in which case the term “Issuing Bank” shall include any such Affiliate with respect to Letters of Credit issued by such Affiliate. The Revolving Borrowers, the Administrative Agent and any Lender may agree that such Lender may issue Letters of Credit hereunder, in which case the term “Issuing Bank” shall include such Lender with respect to the Letters of Credit issued by such Lender, and each reference to “Issuing Bank” shall mean the applicable Issuing Bank or all Issuing Banks, as the context may require.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008000"/>
        </w:rPr>
        <w:t>“</w:t>
      </w:r>
      <w:r>
        <w:rPr>
          <w:rFonts w:ascii="Arial" w:cs="Arial" w:eastAsia="Arial" w:hAnsi="Arial"/>
          <w:sz w:val="16"/>
          <w:szCs w:val="16"/>
          <w:b w:val="1"/>
          <w:bCs w:val="1"/>
          <w:i w:val="1"/>
          <w:iCs w:val="1"/>
          <w:u w:val="single" w:color="auto"/>
          <w:color w:val="008000"/>
        </w:rPr>
        <w:t>Joint Lead Arranger Fee Letters</w:t>
      </w:r>
      <w:r>
        <w:rPr>
          <w:rFonts w:ascii="Arial" w:cs="Arial" w:eastAsia="Arial" w:hAnsi="Arial"/>
          <w:sz w:val="16"/>
          <w:szCs w:val="16"/>
          <w:u w:val="single" w:color="auto"/>
          <w:color w:val="008000"/>
        </w:rPr>
        <w:t>” means, collectively, each fee letter entered into between the Company and a Joint Lead Arranger.</w:t>
      </w:r>
    </w:p>
    <w:p>
      <w:pPr>
        <w:spacing w:after="0" w:line="208" w:lineRule="exact"/>
        <w:rPr>
          <w:sz w:val="20"/>
          <w:szCs w:val="20"/>
          <w:color w:val="auto"/>
        </w:rPr>
      </w:pPr>
    </w:p>
    <w:p>
      <w:pPr>
        <w:ind w:right="16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Joint Lead Arrangers</w:t>
      </w:r>
      <w:r>
        <w:rPr>
          <w:rFonts w:ascii="Arial" w:cs="Arial" w:eastAsia="Arial" w:hAnsi="Arial"/>
          <w:sz w:val="20"/>
          <w:szCs w:val="20"/>
          <w:color w:val="auto"/>
        </w:rPr>
        <w:t>” means, collectively, KeyBanc Capital Markets Inc., Bank of the West, Citizens Bank, N.A., Mizuho Bank, Ltd., PNC Capital Markets, LLC, The Bank of Nova Scotia, TD Securities (USA) LLC, U.S. Bank National Association and Wells Fargo Securities, LLC, as joint lead arrangers and joint bookrunners under this Agreement.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color w:val="008000"/>
          <w:strike w:val="1"/>
        </w:rPr>
        <w:t>“</w:t>
      </w:r>
      <w:r>
        <w:rPr>
          <w:rFonts w:ascii="Arial" w:cs="Arial" w:eastAsia="Arial" w:hAnsi="Arial"/>
          <w:sz w:val="16"/>
          <w:szCs w:val="16"/>
          <w:b w:val="1"/>
          <w:bCs w:val="1"/>
          <w:i w:val="1"/>
          <w:iCs w:val="1"/>
          <w:color w:val="008000"/>
          <w:strike w:val="1"/>
        </w:rPr>
        <w:t>Joint Lead Arranger Fee Letters</w:t>
      </w:r>
      <w:r>
        <w:rPr>
          <w:rFonts w:ascii="Arial" w:cs="Arial" w:eastAsia="Arial" w:hAnsi="Arial"/>
          <w:sz w:val="16"/>
          <w:szCs w:val="16"/>
          <w:color w:val="008000"/>
          <w:strike w:val="1"/>
        </w:rPr>
        <w:t>” means, collectively, each fee letter entered into between the Company and a Joint Lead Arranger.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Disbursement</w:t>
      </w:r>
      <w:r>
        <w:rPr>
          <w:rFonts w:ascii="Arial" w:cs="Arial" w:eastAsia="Arial" w:hAnsi="Arial"/>
          <w:sz w:val="20"/>
          <w:szCs w:val="20"/>
          <w:color w:val="auto"/>
        </w:rPr>
        <w:t>” means a payment made by the Issuing Bank pursuant to a Letter of Credit.</w:t>
      </w:r>
    </w:p>
    <w:p>
      <w:pPr>
        <w:spacing w:after="0" w:line="162" w:lineRule="exact"/>
        <w:rPr>
          <w:sz w:val="20"/>
          <w:szCs w:val="20"/>
          <w:color w:val="auto"/>
        </w:rPr>
      </w:pPr>
    </w:p>
    <w:p>
      <w:pPr>
        <w:ind w:right="2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Exposure</w:t>
      </w:r>
      <w:r>
        <w:rPr>
          <w:rFonts w:ascii="Arial" w:cs="Arial" w:eastAsia="Arial" w:hAnsi="Arial"/>
          <w:sz w:val="20"/>
          <w:szCs w:val="20"/>
          <w:color w:val="auto"/>
        </w:rPr>
        <w:t>” means, at any time, Dollar Equivalent of the sum of (a) the aggregate undrawn amount of all outstanding Letters of Credit at such time plus (b) the aggregate amount of all LC Disbursements that have not yet been reimbursed by or on behalf of the Revolving Borrowers at such time. The LC Exposure of any Lender at any time shall be its Revolving Percentage of the total LC Exposure at such time.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Lender Notice Date</w:t>
      </w:r>
      <w:r>
        <w:rPr>
          <w:rFonts w:ascii="Arial" w:cs="Arial" w:eastAsia="Arial" w:hAnsi="Arial"/>
          <w:sz w:val="20"/>
          <w:szCs w:val="20"/>
          <w:color w:val="auto"/>
        </w:rPr>
        <w:t>” has the meaning assigned to such term in Section 2.22(b).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Lender Parent</w:t>
      </w:r>
      <w:r>
        <w:rPr>
          <w:rFonts w:ascii="Arial" w:cs="Arial" w:eastAsia="Arial" w:hAnsi="Arial"/>
          <w:sz w:val="18"/>
          <w:szCs w:val="18"/>
          <w:color w:val="FF0000"/>
          <w:strike w:val="1"/>
        </w:rPr>
        <w:t>” means, with respect to any Lender, any Person as to which such Lender is, directly or indirectly, a subsidiary.</w:t>
      </w:r>
    </w:p>
    <w:p>
      <w:pPr>
        <w:spacing w:after="0" w:line="185" w:lineRule="exact"/>
        <w:rPr>
          <w:sz w:val="20"/>
          <w:szCs w:val="20"/>
          <w:color w:val="auto"/>
        </w:rPr>
      </w:pPr>
    </w:p>
    <w:p>
      <w:pPr>
        <w:ind w:right="220"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Lenders</w:t>
      </w:r>
      <w:r>
        <w:rPr>
          <w:rFonts w:ascii="Arial" w:cs="Arial" w:eastAsia="Arial" w:hAnsi="Arial"/>
          <w:sz w:val="19"/>
          <w:szCs w:val="19"/>
          <w:color w:val="auto"/>
        </w:rPr>
        <w:t>” means</w:t>
      </w:r>
      <w:r>
        <w:rPr>
          <w:rFonts w:ascii="Arial" w:cs="Arial" w:eastAsia="Arial" w:hAnsi="Arial"/>
          <w:sz w:val="19"/>
          <w:szCs w:val="19"/>
          <w:u w:val="single" w:color="auto"/>
          <w:color w:val="0000FF"/>
        </w:rPr>
        <w:t>, as of the Closing Date,</w:t>
      </w:r>
      <w:r>
        <w:rPr>
          <w:rFonts w:ascii="Arial" w:cs="Arial" w:eastAsia="Arial" w:hAnsi="Arial"/>
          <w:sz w:val="19"/>
          <w:szCs w:val="19"/>
          <w:color w:val="auto"/>
        </w:rPr>
        <w:t xml:space="preserve"> the Persons listed on </w:t>
      </w:r>
      <w:r>
        <w:rPr>
          <w:rFonts w:ascii="Arial" w:cs="Arial" w:eastAsia="Arial" w:hAnsi="Arial"/>
          <w:sz w:val="19"/>
          <w:szCs w:val="19"/>
          <w:u w:val="single" w:color="auto"/>
          <w:color w:val="auto"/>
        </w:rPr>
        <w:t>Schedule 1.01(a)</w:t>
      </w:r>
      <w:r>
        <w:rPr>
          <w:rFonts w:ascii="Arial" w:cs="Arial" w:eastAsia="Arial" w:hAnsi="Arial"/>
          <w:sz w:val="19"/>
          <w:szCs w:val="19"/>
          <w:u w:val="single" w:color="auto"/>
          <w:color w:val="0000FF"/>
        </w:rPr>
        <w:t>,</w:t>
      </w:r>
      <w:r>
        <w:rPr>
          <w:rFonts w:ascii="Arial" w:cs="Arial" w:eastAsia="Arial" w:hAnsi="Arial"/>
          <w:sz w:val="19"/>
          <w:szCs w:val="19"/>
          <w:color w:val="auto"/>
        </w:rPr>
        <w:t xml:space="preserve"> and</w:t>
      </w:r>
      <w:r>
        <w:rPr>
          <w:rFonts w:ascii="Arial" w:cs="Arial" w:eastAsia="Arial" w:hAnsi="Arial"/>
          <w:sz w:val="19"/>
          <w:szCs w:val="19"/>
          <w:u w:val="single" w:color="auto"/>
          <w:color w:val="0000FF"/>
        </w:rPr>
        <w:t>, thereafter,</w:t>
      </w:r>
      <w:r>
        <w:rPr>
          <w:rFonts w:ascii="Arial" w:cs="Arial" w:eastAsia="Arial" w:hAnsi="Arial"/>
          <w:sz w:val="19"/>
          <w:szCs w:val="19"/>
          <w:color w:val="auto"/>
        </w:rPr>
        <w:t xml:space="preserve"> any </w:t>
      </w:r>
      <w:r>
        <w:rPr>
          <w:rFonts w:ascii="Arial" w:cs="Arial" w:eastAsia="Arial" w:hAnsi="Arial"/>
          <w:sz w:val="19"/>
          <w:szCs w:val="19"/>
          <w:color w:val="FF0000"/>
          <w:strike w:val="1"/>
        </w:rPr>
        <w:t>other</w:t>
      </w:r>
      <w:r>
        <w:rPr>
          <w:rFonts w:ascii="Arial" w:cs="Arial" w:eastAsia="Arial" w:hAnsi="Arial"/>
          <w:sz w:val="19"/>
          <w:szCs w:val="19"/>
          <w:color w:val="auto"/>
        </w:rPr>
        <w:t xml:space="preserve"> Person </w:t>
      </w:r>
      <w:r>
        <w:rPr>
          <w:rFonts w:ascii="Arial" w:cs="Arial" w:eastAsia="Arial" w:hAnsi="Arial"/>
          <w:sz w:val="19"/>
          <w:szCs w:val="19"/>
          <w:color w:val="FF0000"/>
          <w:strike w:val="1"/>
        </w:rPr>
        <w:t>that shall</w:t>
      </w:r>
      <w:r>
        <w:rPr>
          <w:rFonts w:ascii="Arial" w:cs="Arial" w:eastAsia="Arial" w:hAnsi="Arial"/>
          <w:sz w:val="19"/>
          <w:szCs w:val="19"/>
          <w:color w:val="auto"/>
        </w:rPr>
        <w:t xml:space="preserve"> </w:t>
      </w:r>
      <w:r>
        <w:rPr>
          <w:rFonts w:ascii="Arial" w:cs="Arial" w:eastAsia="Arial" w:hAnsi="Arial"/>
          <w:sz w:val="19"/>
          <w:szCs w:val="19"/>
          <w:u w:val="single" w:color="auto"/>
          <w:color w:val="0000FF"/>
        </w:rPr>
        <w:t>with a</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Commitment or Term Loan Exposure, including those that</w:t>
      </w:r>
      <w:r>
        <w:rPr>
          <w:rFonts w:ascii="Arial" w:cs="Arial" w:eastAsia="Arial" w:hAnsi="Arial"/>
          <w:sz w:val="19"/>
          <w:szCs w:val="19"/>
          <w:color w:val="0000FF"/>
        </w:rPr>
        <w:t xml:space="preserve"> </w:t>
      </w:r>
      <w:r>
        <w:rPr>
          <w:rFonts w:ascii="Arial" w:cs="Arial" w:eastAsia="Arial" w:hAnsi="Arial"/>
          <w:sz w:val="19"/>
          <w:szCs w:val="19"/>
          <w:color w:val="000000"/>
        </w:rPr>
        <w:t>have become a party hereto pursuant to Section 2.04 or an Assignment and</w:t>
      </w:r>
      <w:r>
        <w:rPr>
          <w:rFonts w:ascii="Arial" w:cs="Arial" w:eastAsia="Arial" w:hAnsi="Arial"/>
          <w:sz w:val="19"/>
          <w:szCs w:val="19"/>
          <w:color w:val="0000FF"/>
        </w:rPr>
        <w:t xml:space="preserve"> </w:t>
      </w:r>
      <w:r>
        <w:rPr>
          <w:rFonts w:ascii="Arial" w:cs="Arial" w:eastAsia="Arial" w:hAnsi="Arial"/>
          <w:sz w:val="19"/>
          <w:szCs w:val="19"/>
          <w:color w:val="000000"/>
        </w:rPr>
        <w:t>Assumption, other than any such Person that ceases to be a party hereto pursuant to an Assignment and Assumption. Unless the context otherwise requires, the term “Lenders” includes the Swingline Lender and the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-386715</wp:posOffset>
            </wp:positionV>
            <wp:extent cx="311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w:t>
      </w:r>
      <w:r>
        <w:rPr>
          <w:rFonts w:ascii="Arial" w:cs="Arial" w:eastAsia="Arial" w:hAnsi="Arial"/>
          <w:sz w:val="20"/>
          <w:szCs w:val="20"/>
          <w:color w:val="auto"/>
        </w:rPr>
        <w:t>” means any letter of credit issued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-19-</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85" w:name="page86"/>
    <w:bookmarkEnd w:id="85"/>
    <w:p>
      <w:pPr>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Lien</w:t>
      </w:r>
      <w:r>
        <w:rPr>
          <w:rFonts w:ascii="Arial" w:cs="Arial" w:eastAsia="Arial" w:hAnsi="Arial"/>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43" w:lineRule="exact"/>
        <w:rPr>
          <w:sz w:val="20"/>
          <w:szCs w:val="20"/>
          <w:color w:val="auto"/>
        </w:rPr>
      </w:pPr>
    </w:p>
    <w:p>
      <w:pPr>
        <w:ind w:right="22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 Documents</w:t>
      </w:r>
      <w:r>
        <w:rPr>
          <w:rFonts w:ascii="Arial" w:cs="Arial" w:eastAsia="Arial" w:hAnsi="Arial"/>
          <w:sz w:val="20"/>
          <w:szCs w:val="20"/>
          <w:color w:val="auto"/>
        </w:rPr>
        <w:t>” means this Agreement, including without limitation, schedules and exhibits hereto, the Notes (if any), the Subsidiary Guaranty, the Administrative Agent Fee Letter, the Closing Fee Letter, the Joint Lead Arranger Fee Letters and any other agreements entered into in connection herewith or therewith, including any amendments, modifications or supplements hereto or thereto or waivers hereof or thereof.</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Parties</w:t>
      </w:r>
      <w:r>
        <w:rPr>
          <w:rFonts w:ascii="Arial" w:cs="Arial" w:eastAsia="Arial" w:hAnsi="Arial"/>
          <w:sz w:val="19"/>
          <w:szCs w:val="19"/>
          <w:color w:val="auto"/>
        </w:rPr>
        <w:t>” means the Borrowers and the Subsidiary Guarantors, and “</w:t>
      </w:r>
      <w:r>
        <w:rPr>
          <w:rFonts w:ascii="Arial" w:cs="Arial" w:eastAsia="Arial" w:hAnsi="Arial"/>
          <w:sz w:val="19"/>
          <w:szCs w:val="19"/>
          <w:b w:val="1"/>
          <w:bCs w:val="1"/>
          <w:i w:val="1"/>
          <w:iCs w:val="1"/>
          <w:color w:val="auto"/>
        </w:rPr>
        <w:t>Loan Party</w:t>
      </w:r>
      <w:r>
        <w:rPr>
          <w:rFonts w:ascii="Arial" w:cs="Arial" w:eastAsia="Arial" w:hAnsi="Arial"/>
          <w:sz w:val="19"/>
          <w:szCs w:val="19"/>
          <w:color w:val="auto"/>
        </w:rPr>
        <w:t>” means any one of them individually.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Loans</w:t>
      </w:r>
      <w:r>
        <w:rPr>
          <w:rFonts w:ascii="Arial" w:cs="Arial" w:eastAsia="Arial" w:hAnsi="Arial"/>
          <w:sz w:val="20"/>
          <w:szCs w:val="20"/>
          <w:color w:val="auto"/>
        </w:rPr>
        <w:t>” means the loans made by the Lenders to the Borrowers pursuant to this Agreement.</w:t>
      </w:r>
    </w:p>
    <w:p>
      <w:pPr>
        <w:spacing w:after="0" w:line="162" w:lineRule="exact"/>
        <w:rPr>
          <w:sz w:val="20"/>
          <w:szCs w:val="20"/>
          <w:color w:val="auto"/>
        </w:rPr>
      </w:pPr>
    </w:p>
    <w:p>
      <w:pPr>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Adverse Effect</w:t>
      </w:r>
      <w:r>
        <w:rPr>
          <w:rFonts w:ascii="Arial" w:cs="Arial" w:eastAsia="Arial" w:hAnsi="Arial"/>
          <w:sz w:val="20"/>
          <w:szCs w:val="20"/>
          <w:color w:val="auto"/>
        </w:rPr>
        <w:t>” means a material adverse effect on (a) the business, operations, properties, financial condition or results of operations of the Company and its Subsidiaries taken as a whole or (b) the validity or enforceability of any of the Loan Documents or the remedies of the Administrative Agent or the Lenders thereunder.</w:t>
      </w:r>
    </w:p>
    <w:p>
      <w:pPr>
        <w:spacing w:after="0" w:line="129" w:lineRule="exact"/>
        <w:rPr>
          <w:sz w:val="20"/>
          <w:szCs w:val="20"/>
          <w:color w:val="auto"/>
        </w:rPr>
      </w:pPr>
    </w:p>
    <w:p>
      <w:pPr>
        <w:ind w:firstLine="648"/>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Indebtedness</w:t>
      </w:r>
      <w:r>
        <w:rPr>
          <w:rFonts w:ascii="Arial" w:cs="Arial" w:eastAsia="Arial" w:hAnsi="Arial"/>
          <w:sz w:val="18"/>
          <w:szCs w:val="18"/>
          <w:color w:val="auto"/>
        </w:rPr>
        <w:t>” means Indebtedness (other than the Loans and Letters of Credit) of any one or more of the Company and its Subsidiaries in an aggregate principal amount exceeding the greater of (a) $150,000,000 (or the Dollar Equivalent thereof) and (b) 6.0% of Consolidated Total Tangible Assets. For purposes of determining Material Indebtedness, the “principal amount” of the obligations of the Company or any Subsidiary in respect of any Hedge Agreement at any time shall be the maximum aggregate amount (giving effect to any netting agreements) that the Company or such Subsidiary would be required to pay if such Hedge Agreement were terminated at such time.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Subsidiary</w:t>
      </w:r>
      <w:r>
        <w:rPr>
          <w:rFonts w:ascii="Arial" w:cs="Arial" w:eastAsia="Arial" w:hAnsi="Arial"/>
          <w:sz w:val="20"/>
          <w:szCs w:val="20"/>
          <w:color w:val="auto"/>
        </w:rPr>
        <w:t>” means each Subsidiary of the Company that meets either of the following conditions:</w:t>
      </w:r>
    </w:p>
    <w:p>
      <w:pPr>
        <w:spacing w:after="0" w:line="162" w:lineRule="exact"/>
        <w:rPr>
          <w:sz w:val="20"/>
          <w:szCs w:val="20"/>
          <w:color w:val="auto"/>
        </w:rPr>
      </w:pPr>
    </w:p>
    <w:p>
      <w:pPr>
        <w:ind w:firstLine="1304"/>
        <w:spacing w:after="0" w:line="213" w:lineRule="auto"/>
        <w:tabs>
          <w:tab w:leader="none" w:pos="1934" w:val="left"/>
        </w:tabs>
        <w:numPr>
          <w:ilvl w:val="0"/>
          <w:numId w:val="50"/>
        </w:numPr>
        <w:rPr>
          <w:rFonts w:ascii="Arial" w:cs="Arial" w:eastAsia="Arial" w:hAnsi="Arial"/>
          <w:sz w:val="20"/>
          <w:szCs w:val="20"/>
          <w:color w:val="auto"/>
        </w:rPr>
      </w:pPr>
      <w:r>
        <w:rPr>
          <w:rFonts w:ascii="Arial" w:cs="Arial" w:eastAsia="Arial" w:hAnsi="Arial"/>
          <w:sz w:val="20"/>
          <w:szCs w:val="20"/>
          <w:color w:val="auto"/>
        </w:rPr>
        <w:t>such Subsidiary has assets (after eliminating assets related to intercompany transactions) that individually constitute at least 15% of Consolidated Total Assets as of the last day of the most recent period of four fiscal quarters of the Company for which audited annual financial statements or quarterly financial statements are required to be delivered pursuant to Section 5.01(a) or Section 5.01(b), respectively; or</w:t>
      </w:r>
    </w:p>
    <w:p>
      <w:pPr>
        <w:spacing w:after="0" w:line="128" w:lineRule="exact"/>
        <w:rPr>
          <w:rFonts w:ascii="Arial" w:cs="Arial" w:eastAsia="Arial" w:hAnsi="Arial"/>
          <w:sz w:val="20"/>
          <w:szCs w:val="20"/>
          <w:color w:val="auto"/>
        </w:rPr>
      </w:pPr>
    </w:p>
    <w:p>
      <w:pPr>
        <w:ind w:right="60" w:firstLine="1304"/>
        <w:spacing w:after="0" w:line="229" w:lineRule="auto"/>
        <w:tabs>
          <w:tab w:leader="none" w:pos="1932" w:val="left"/>
        </w:tabs>
        <w:numPr>
          <w:ilvl w:val="0"/>
          <w:numId w:val="50"/>
        </w:numPr>
        <w:rPr>
          <w:rFonts w:ascii="Arial" w:cs="Arial" w:eastAsia="Arial" w:hAnsi="Arial"/>
          <w:sz w:val="20"/>
          <w:szCs w:val="20"/>
          <w:color w:val="auto"/>
        </w:rPr>
      </w:pPr>
      <w:r>
        <w:rPr>
          <w:rFonts w:ascii="Arial" w:cs="Arial" w:eastAsia="Arial" w:hAnsi="Arial"/>
          <w:sz w:val="20"/>
          <w:szCs w:val="20"/>
          <w:color w:val="auto"/>
        </w:rPr>
        <w:t>such Subsidiary’s net revenues (excluding intercompany revenues) were at least 15% of the Company’s consolidated net revenues for the most recent period of four fiscal quarters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-20-</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86" w:name="page87"/>
    <w:bookmarkEnd w:id="86"/>
    <w:p>
      <w:pPr>
        <w:ind w:right="1020"/>
        <w:spacing w:after="0" w:line="229" w:lineRule="auto"/>
        <w:rPr>
          <w:sz w:val="20"/>
          <w:szCs w:val="20"/>
          <w:color w:val="auto"/>
        </w:rPr>
      </w:pPr>
      <w:r>
        <w:rPr>
          <w:rFonts w:ascii="Arial" w:cs="Arial" w:eastAsia="Arial" w:hAnsi="Arial"/>
          <w:sz w:val="20"/>
          <w:szCs w:val="20"/>
          <w:color w:val="auto"/>
        </w:rPr>
        <w:t>Company for which audited annual financial statements or quarterly financial statements are required to be delivered pursuant to Section 5.01(a) or Section 5.01(b), respectively.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Maturity Date</w:t>
      </w:r>
      <w:r>
        <w:rPr>
          <w:rFonts w:ascii="Arial" w:cs="Arial" w:eastAsia="Arial" w:hAnsi="Arial"/>
          <w:sz w:val="20"/>
          <w:szCs w:val="20"/>
          <w:color w:val="auto"/>
        </w:rPr>
        <w:t>” means the Revolving Maturity Date and/or the Term Loan Maturity Date, as the context may require.</w:t>
      </w:r>
    </w:p>
    <w:p>
      <w:pPr>
        <w:spacing w:after="0" w:line="148" w:lineRule="exact"/>
        <w:rPr>
          <w:sz w:val="20"/>
          <w:szCs w:val="20"/>
          <w:color w:val="auto"/>
        </w:rPr>
      </w:pPr>
    </w:p>
    <w:p>
      <w:pPr>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Maximum Total Leverage Ratio</w:t>
      </w:r>
      <w:r>
        <w:rPr>
          <w:rFonts w:ascii="Arial" w:cs="Arial" w:eastAsia="Arial" w:hAnsi="Arial"/>
          <w:sz w:val="19"/>
          <w:szCs w:val="19"/>
          <w:color w:val="auto"/>
        </w:rPr>
        <w:t xml:space="preserve">” means 3.75:1.00;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for the two consecutive fiscal quarters ended immediately following the consummation of any Qualified Acquisition (including the fiscal quarter in which such Qualified Acquisition occurs), the Maximum Total Leverage Ratio shall be 4.75:1.00; (b) for the fiscal quarter ended immediately after such two fiscal quarters referred to in clause (a), the Maximum Total Leverage Ratio shall be 4.50:1.00; (c) for the fiscal quarter ended immediately after the fiscal quarter referred to in clause (b), the Maximum Total Leverage Ratio shall be 4.25:1.00 and (d) for the fiscal quarter ended immediately after the fiscal quarter referred to in clause (c), the Maximum Total Leverage Ratio shall be 4.00:1.00.</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Moody’s</w:t>
      </w:r>
      <w:r>
        <w:rPr>
          <w:rFonts w:ascii="Arial" w:cs="Arial" w:eastAsia="Arial" w:hAnsi="Arial"/>
          <w:sz w:val="20"/>
          <w:szCs w:val="20"/>
          <w:color w:val="FF0000"/>
          <w:strike w:val="1"/>
        </w:rPr>
        <w:t>” means Moody’s Investors Service, Inc.</w:t>
      </w:r>
    </w:p>
    <w:p>
      <w:pPr>
        <w:spacing w:after="0" w:line="162" w:lineRule="exact"/>
        <w:rPr>
          <w:sz w:val="20"/>
          <w:szCs w:val="20"/>
          <w:color w:val="auto"/>
        </w:rPr>
      </w:pPr>
    </w:p>
    <w:p>
      <w:pPr>
        <w:ind w:right="240" w:firstLine="648"/>
        <w:spacing w:after="0" w:line="229"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MLI</w:t>
      </w:r>
      <w:r>
        <w:rPr>
          <w:rFonts w:ascii="Arial" w:cs="Arial" w:eastAsia="Arial" w:hAnsi="Arial"/>
          <w:sz w:val="20"/>
          <w:szCs w:val="20"/>
          <w:u w:val="single" w:color="auto"/>
          <w:color w:val="0000FF"/>
        </w:rPr>
        <w:t>” means the Multilateral Convention to Implement Tax Treaty Related Measures to Prevent Base Erosion and Profit Shifting published on 24 November 2016 and entering into force on 1 July 2018.</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Multiemployer Plan</w:t>
      </w:r>
      <w:r>
        <w:rPr>
          <w:rFonts w:ascii="Arial" w:cs="Arial" w:eastAsia="Arial" w:hAnsi="Arial"/>
          <w:sz w:val="20"/>
          <w:szCs w:val="20"/>
          <w:color w:val="auto"/>
        </w:rPr>
        <w:t>” means a multiemployer plan as defined in Section 4001(a)(3) of ERISA.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Non-Extending Lender</w:t>
      </w:r>
      <w:r>
        <w:rPr>
          <w:rFonts w:ascii="Arial" w:cs="Arial" w:eastAsia="Arial" w:hAnsi="Arial"/>
          <w:sz w:val="20"/>
          <w:szCs w:val="20"/>
          <w:color w:val="auto"/>
        </w:rPr>
        <w:t>” has the meaning assigned to such term in Section 2.22(b).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means any promissory notes executed by any Borrower to evidence the Obligations in accordance with Section 2.10(e).</w:t>
      </w:r>
    </w:p>
    <w:p>
      <w:pPr>
        <w:spacing w:after="0" w:line="171" w:lineRule="exact"/>
        <w:rPr>
          <w:sz w:val="20"/>
          <w:szCs w:val="20"/>
          <w:color w:val="auto"/>
        </w:rPr>
      </w:pPr>
    </w:p>
    <w:p>
      <w:pPr>
        <w:ind w:right="60" w:firstLine="648"/>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xml:space="preserve">” means the unpaid principal of and interest on (including interest accruing after the maturity of the Loans and LC Disbursements and interest accruing after the filing of any petition in bankruptcy, or the commencement of any insolvency, reorganization or like proceeding, relating to the Borrowers, whether or not a claim for post-filing or post-petition interest is allowed in such proceeding) the Loans and all other obligations and liabilities of the Borrowers to any Credit Party, whether direct or indirect, absolute or contingent, due or to become due, or now existing or hereafter incurred, which may arise under, out of, or in connection with, this Agreement, any other Loan Document, the Letters of Credit, any Designated Hedge Agreement or any other document made, delivered or given in connection herewith or therewith, whether on account of principal, interest, reimbursement obligations, fees, indemnities, costs, expenses (including all fees, charges and disbursements of counsel to the Credit Parties that are required to be paid by any Borrower pursuant hereto) or otherwise;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Obligations shall not include any Excluded Swap Obligations.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OFAC</w:t>
      </w:r>
      <w:r>
        <w:rPr>
          <w:rFonts w:ascii="Arial" w:cs="Arial" w:eastAsia="Arial" w:hAnsi="Arial"/>
          <w:sz w:val="20"/>
          <w:szCs w:val="20"/>
          <w:color w:val="auto"/>
        </w:rPr>
        <w:t>” means Office of Foreign Assets Control of the United States Department of the Treasury.</w:t>
      </w:r>
    </w:p>
    <w:p>
      <w:pPr>
        <w:spacing w:after="0" w:line="162" w:lineRule="exact"/>
        <w:rPr>
          <w:sz w:val="20"/>
          <w:szCs w:val="20"/>
          <w:color w:val="auto"/>
        </w:rPr>
      </w:pPr>
    </w:p>
    <w:p>
      <w:pPr>
        <w:ind w:right="36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Operating Lease</w:t>
      </w:r>
      <w:r>
        <w:rPr>
          <w:rFonts w:ascii="Arial" w:cs="Arial" w:eastAsia="Arial" w:hAnsi="Arial"/>
          <w:sz w:val="19"/>
          <w:szCs w:val="19"/>
          <w:color w:val="auto"/>
        </w:rPr>
        <w:t>” as applied to any Person means any lease of any property (whether real, personal or mixed) by that Person as lessee that, in conformity with GAAP, is not accounted for as a Capital Lease on the balance sheet of that Person.</w:t>
      </w:r>
    </w:p>
    <w:p>
      <w:pPr>
        <w:spacing w:after="0" w:line="126" w:lineRule="exact"/>
        <w:rPr>
          <w:sz w:val="20"/>
          <w:szCs w:val="20"/>
          <w:color w:val="auto"/>
        </w:rPr>
      </w:pPr>
    </w:p>
    <w:p>
      <w:pPr>
        <w:ind w:right="540"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1" w:lineRule="exact"/>
        <w:rPr>
          <w:sz w:val="20"/>
          <w:szCs w:val="20"/>
          <w:color w:val="auto"/>
        </w:rPr>
      </w:pPr>
    </w:p>
    <w:p>
      <w:pPr>
        <w:ind w:right="120"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-21-</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00"/>
          </w:cols>
          <w:pgMar w:left="320" w:top="1405" w:right="379" w:bottom="1440" w:gutter="0" w:footer="0" w:header="0"/>
        </w:sectPr>
      </w:pPr>
    </w:p>
    <w:bookmarkStart w:id="87" w:name="page88"/>
    <w:bookmarkEnd w:id="8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has the meaning assigned to such term in Section 10.04.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 Register</w:t>
      </w:r>
      <w:r>
        <w:rPr>
          <w:rFonts w:ascii="Arial" w:cs="Arial" w:eastAsia="Arial" w:hAnsi="Arial"/>
          <w:sz w:val="20"/>
          <w:szCs w:val="20"/>
          <w:color w:val="auto"/>
        </w:rPr>
        <w:t>” has the meaning assigned to such term in Section 10.04(c).</w:t>
      </w:r>
    </w:p>
    <w:p>
      <w:pPr>
        <w:spacing w:after="0" w:line="148" w:lineRule="exact"/>
        <w:rPr>
          <w:sz w:val="20"/>
          <w:szCs w:val="20"/>
          <w:color w:val="auto"/>
        </w:rPr>
      </w:pPr>
    </w:p>
    <w:p>
      <w:pPr>
        <w:ind w:right="22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Payment Office</w:t>
      </w:r>
      <w:r>
        <w:rPr>
          <w:rFonts w:ascii="Arial" w:cs="Arial" w:eastAsia="Arial" w:hAnsi="Arial"/>
          <w:sz w:val="20"/>
          <w:szCs w:val="20"/>
          <w:color w:val="auto"/>
        </w:rPr>
        <w:t xml:space="preserve">” means the office of the Administrative Agent at 4900 Tiedeman Road, Brooklyn, Ohio 44144, Attention: Donna Boening (facsimile: 216-370-5997; </w:t>
      </w:r>
      <w:r>
        <w:rPr>
          <w:rFonts w:ascii="Arial" w:cs="Arial" w:eastAsia="Arial" w:hAnsi="Arial"/>
          <w:sz w:val="20"/>
          <w:szCs w:val="20"/>
          <w:u w:val="single" w:color="auto"/>
          <w:color w:val="0000FF"/>
        </w:rPr>
        <w:t>email: Agent_Servicing@keybank.com),</w:t>
      </w:r>
      <w:r>
        <w:rPr>
          <w:rFonts w:ascii="Arial" w:cs="Arial" w:eastAsia="Arial" w:hAnsi="Arial"/>
          <w:sz w:val="20"/>
          <w:szCs w:val="20"/>
          <w:color w:val="auto"/>
        </w:rPr>
        <w:t xml:space="preserve"> or such other office(s), as the Administrative Agent may designate to the Company in writing from time to time.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Payment Recipient</w:t>
      </w:r>
      <w:r>
        <w:rPr>
          <w:rFonts w:ascii="Arial" w:cs="Arial" w:eastAsia="Arial" w:hAnsi="Arial"/>
          <w:sz w:val="20"/>
          <w:szCs w:val="20"/>
          <w:u w:val="single" w:color="auto"/>
          <w:color w:val="0000FF"/>
        </w:rPr>
        <w:t>” has the meaning assigned to it in Section 8.02.</w:t>
      </w:r>
    </w:p>
    <w:p>
      <w:pPr>
        <w:spacing w:after="0" w:line="162" w:lineRule="exact"/>
        <w:rPr>
          <w:sz w:val="20"/>
          <w:szCs w:val="20"/>
          <w:color w:val="auto"/>
        </w:rPr>
      </w:pPr>
    </w:p>
    <w:p>
      <w:pPr>
        <w:ind w:right="3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Lien</w:t>
      </w:r>
      <w:r>
        <w:rPr>
          <w:rFonts w:ascii="Arial" w:cs="Arial" w:eastAsia="Arial" w:hAnsi="Arial"/>
          <w:sz w:val="20"/>
          <w:szCs w:val="20"/>
          <w:color w:val="auto"/>
        </w:rPr>
        <w:t>” means any Lien permitted by Section 6.03 of this Agreement.</w:t>
      </w:r>
    </w:p>
    <w:p>
      <w:pPr>
        <w:spacing w:after="0" w:line="162" w:lineRule="exact"/>
        <w:rPr>
          <w:sz w:val="20"/>
          <w:szCs w:val="20"/>
          <w:color w:val="auto"/>
        </w:rPr>
      </w:pPr>
    </w:p>
    <w:p>
      <w:pPr>
        <w:ind w:firstLine="648"/>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Securitization Transaction</w:t>
      </w:r>
      <w:r>
        <w:rPr>
          <w:rFonts w:ascii="Arial" w:cs="Arial" w:eastAsia="Arial" w:hAnsi="Arial"/>
          <w:sz w:val="20"/>
          <w:szCs w:val="20"/>
          <w:color w:val="auto"/>
        </w:rPr>
        <w:t>” means any transaction or series of transactions designated in writing by the Company to the Administrative Agent to be a “Permitted Securitization Transaction” which is entered into by the Company or any Subsidiary Guarantor pursuant to which the Company or any Subsidiary Guarantor, as applicable, may sell, convey or otherwise transfer to any other Person, or may grant a security interest in, any accounts receivable (whether now existing or arising in the future) of the Company or such Subsidiary Guarantor, and any assets related thereto, including all collateral securing such accounts receivable, all contracts and all Guaranty Obligations or other obligations in respect of such accounts receivable, and proceeds of such accounts receivable and other assets that are customarily transferred, or in respect of which security interests are customarily granted, in connection with asset securitization transactions involving accounts receivable.</w:t>
      </w:r>
    </w:p>
    <w:p>
      <w:pPr>
        <w:spacing w:after="0" w:line="143" w:lineRule="exact"/>
        <w:rPr>
          <w:sz w:val="20"/>
          <w:szCs w:val="20"/>
          <w:color w:val="auto"/>
        </w:rPr>
      </w:pPr>
    </w:p>
    <w:p>
      <w:pPr>
        <w:ind w:right="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28" w:lineRule="exact"/>
        <w:rPr>
          <w:sz w:val="20"/>
          <w:szCs w:val="20"/>
          <w:color w:val="auto"/>
        </w:rPr>
      </w:pPr>
    </w:p>
    <w:p>
      <w:pPr>
        <w:jc w:val="both"/>
        <w:ind w:right="180"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38" w:lineRule="exact"/>
        <w:rPr>
          <w:sz w:val="20"/>
          <w:szCs w:val="20"/>
          <w:color w:val="auto"/>
        </w:rPr>
      </w:pPr>
    </w:p>
    <w:p>
      <w:pPr>
        <w:ind w:right="6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Prime Rate</w:t>
      </w:r>
      <w:r>
        <w:rPr>
          <w:rFonts w:ascii="Arial" w:cs="Arial" w:eastAsia="Arial" w:hAnsi="Arial"/>
          <w:sz w:val="20"/>
          <w:szCs w:val="20"/>
          <w:color w:val="auto"/>
        </w:rPr>
        <w:t xml:space="preserve">” means the rate of interest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publicly announced from time to time by KeyBank National Association (or any replacement Administrative Agent) as its prime rate in effect at its office located at 127 Public Square, Cleveland, Ohio 44114-1306 (or the principal office of any such replacement Administrative Agent); each change in the Prime Rate shall be effective from and including the date such change is publicly announced as being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-22-</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88" w:name="page89"/>
    <w:bookmarkEnd w:id="88"/>
    <w:p>
      <w:pPr>
        <w:ind w:right="40" w:firstLine="648"/>
        <w:spacing w:after="0" w:line="21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Forma Basis</w:t>
      </w:r>
      <w:r>
        <w:rPr>
          <w:rFonts w:ascii="Arial" w:cs="Arial" w:eastAsia="Arial" w:hAnsi="Arial"/>
          <w:sz w:val="19"/>
          <w:szCs w:val="19"/>
          <w:color w:val="auto"/>
        </w:rPr>
        <w:t xml:space="preserve">” </w:t>
      </w:r>
      <w:r>
        <w:rPr>
          <w:rFonts w:ascii="Arial" w:cs="Arial" w:eastAsia="Arial" w:hAnsi="Arial"/>
          <w:sz w:val="19"/>
          <w:szCs w:val="19"/>
          <w:color w:val="FF0000"/>
          <w:strike w:val="1"/>
        </w:rPr>
        <w:t>shall mean</w:t>
      </w:r>
      <w:r>
        <w:rPr>
          <w:rFonts w:ascii="Arial" w:cs="Arial" w:eastAsia="Arial" w:hAnsi="Arial"/>
          <w:sz w:val="19"/>
          <w:szCs w:val="19"/>
          <w:u w:val="single" w:color="auto"/>
          <w:color w:val="0000FF"/>
        </w:rPr>
        <w:t>means</w:t>
      </w:r>
      <w:r>
        <w:rPr>
          <w:rFonts w:ascii="Arial" w:cs="Arial" w:eastAsia="Arial" w:hAnsi="Arial"/>
          <w:sz w:val="19"/>
          <w:szCs w:val="19"/>
          <w:color w:val="auto"/>
        </w:rPr>
        <w:t>, with respect to any Testing Period during which any Acquisition or Asset Sale occurs (and for purposes of determining whether an acquisition is an Acquisition or whether the Company and its Subsidiaries may take any other actions requiring compliance with a specified ratio), the Total Leverage Ratio and Interest Coverage Ratio shall be calculated with respect to such Testing Period on a pro forma basis after giving effect to such Acquisition or Asset Sale (and any related repayment or incurrence of Indebtedness) (including, without limitation or duplication, (a) additional add backs which are (i) determined on a basis consistent with Article 11 of Regulation S-X promulgated under the Exchange Act and as interpreted by the staff of the Securities and Exchange Commission (or any successor agency), (ii) recommended by any due diligence quality of earnings report reasonably acceptable to the Administrative Agent (such acceptance not to be unreasonably withheld) conducted by (y) a firm of independent public accountants of recognized national standing or (z) any other accounting firm reasonably satisfactory to the Administrative Agent, selected by the Company and retained by the Company; or (iii) otherwise determined in such other manner reasonably acceptable to the Administrative Agent and (b) pro forma adjustments, for cost savings and other operating efficiencies (net of continuing associated expenses) to the extent the actions underlying such cost savings and operating efficiencies have been or are reasonably expected to be implemented and such cost savings and operating efficiencies are factually supportable and are expected to have a continuing impact), using, for purposes of making such calculations, the historical financial statements of the Company and its Subsidiaries which shall be reformulated as if such Acquisition or Asset Sale, and any other Acquisition or Asset Sale that has been consummated during such Testing Period, had been consummated on the first day of such Testing Period.</w:t>
      </w:r>
    </w:p>
    <w:p>
      <w:pPr>
        <w:spacing w:after="0" w:line="153" w:lineRule="exact"/>
        <w:rPr>
          <w:sz w:val="20"/>
          <w:szCs w:val="20"/>
          <w:color w:val="auto"/>
        </w:rPr>
      </w:pPr>
    </w:p>
    <w:p>
      <w:pPr>
        <w:ind w:right="220" w:firstLine="648"/>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Pro-Rata Share</w:t>
      </w:r>
      <w:r>
        <w:rPr>
          <w:rFonts w:ascii="Arial" w:cs="Arial" w:eastAsia="Arial" w:hAnsi="Arial"/>
          <w:sz w:val="16"/>
          <w:szCs w:val="16"/>
          <w:color w:val="auto"/>
        </w:rPr>
        <w:t>” means, with respect to any Lender, the percentage of the total Term Loan Exposure, Revolving Credit Exposure and unused Commitments represented by such Lender’s Term Loan Exposure, Revolving Credit Exposure and unused Commitments.</w:t>
      </w:r>
    </w:p>
    <w:p>
      <w:pPr>
        <w:spacing w:after="0" w:line="56" w:lineRule="exact"/>
        <w:rPr>
          <w:sz w:val="20"/>
          <w:szCs w:val="20"/>
          <w:color w:val="auto"/>
        </w:rPr>
      </w:pPr>
    </w:p>
    <w:p>
      <w:pPr>
        <w:ind w:right="4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Acquisition</w:t>
      </w:r>
      <w:r>
        <w:rPr>
          <w:rFonts w:ascii="Arial" w:cs="Arial" w:eastAsia="Arial" w:hAnsi="Arial"/>
          <w:sz w:val="20"/>
          <w:szCs w:val="20"/>
          <w:color w:val="auto"/>
        </w:rPr>
        <w:t xml:space="preserve">” means any Acquisition that has been designated to the Administrative Agent by a </w:t>
      </w:r>
      <w:r>
        <w:rPr>
          <w:rFonts w:ascii="Arial" w:cs="Arial" w:eastAsia="Arial" w:hAnsi="Arial"/>
          <w:sz w:val="20"/>
          <w:szCs w:val="20"/>
          <w:color w:val="FF0000"/>
          <w:strike w:val="1"/>
        </w:rPr>
        <w:t>Responsible</w:t>
      </w:r>
      <w:r>
        <w:rPr>
          <w:rFonts w:ascii="Arial" w:cs="Arial" w:eastAsia="Arial" w:hAnsi="Arial"/>
          <w:sz w:val="20"/>
          <w:szCs w:val="20"/>
          <w:u w:val="single" w:color="auto"/>
          <w:color w:val="0000FF"/>
        </w:rPr>
        <w:t>Financial</w:t>
      </w:r>
      <w:r>
        <w:rPr>
          <w:rFonts w:ascii="Arial" w:cs="Arial" w:eastAsia="Arial" w:hAnsi="Arial"/>
          <w:sz w:val="20"/>
          <w:szCs w:val="20"/>
          <w:color w:val="auto"/>
        </w:rPr>
        <w:t xml:space="preserve"> Officer of the Company as a “Qualified Acquisition”.</w:t>
      </w:r>
    </w:p>
    <w:p>
      <w:pPr>
        <w:spacing w:after="0" w:line="142" w:lineRule="exact"/>
        <w:rPr>
          <w:sz w:val="20"/>
          <w:szCs w:val="20"/>
          <w:color w:val="auto"/>
        </w:rPr>
      </w:pPr>
    </w:p>
    <w:p>
      <w:pPr>
        <w:ind w:right="40"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Qualified ECP Guarantor</w:t>
      </w:r>
      <w:r>
        <w:rPr>
          <w:rFonts w:ascii="Arial" w:cs="Arial" w:eastAsia="Arial" w:hAnsi="Arial"/>
          <w:sz w:val="19"/>
          <w:szCs w:val="19"/>
          <w:color w:val="auto"/>
        </w:rPr>
        <w:t>” means, in respect of any Obligations with respect to a Designated Hedge Agreement, each Loan Party that has total assets exceeding $10,000,000 at the time the relevant guarantee or grant of the relevant security interest becomes effective with respect to such Obligations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Recipient</w:t>
      </w:r>
      <w:r>
        <w:rPr>
          <w:rFonts w:ascii="Arial" w:cs="Arial" w:eastAsia="Arial" w:hAnsi="Arial"/>
          <w:sz w:val="20"/>
          <w:szCs w:val="20"/>
          <w:color w:val="auto"/>
        </w:rPr>
        <w:t>” means (a) the Administrative Agent, (b) any Lender and (c) any Issuing Bank, as applicable.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Register</w:t>
      </w:r>
      <w:r>
        <w:rPr>
          <w:rFonts w:ascii="Arial" w:cs="Arial" w:eastAsia="Arial" w:hAnsi="Arial"/>
          <w:sz w:val="20"/>
          <w:szCs w:val="20"/>
          <w:color w:val="auto"/>
        </w:rPr>
        <w:t>” has the meaning assigned to such term in Section 10.04.</w:t>
      </w:r>
    </w:p>
    <w:p>
      <w:pPr>
        <w:spacing w:after="0" w:line="162" w:lineRule="exact"/>
        <w:rPr>
          <w:sz w:val="20"/>
          <w:szCs w:val="20"/>
          <w:color w:val="auto"/>
        </w:rPr>
      </w:pPr>
    </w:p>
    <w:p>
      <w:pPr>
        <w:ind w:right="7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Parties</w:t>
      </w:r>
      <w:r>
        <w:rPr>
          <w:rFonts w:ascii="Arial" w:cs="Arial" w:eastAsia="Arial" w:hAnsi="Arial"/>
          <w:sz w:val="20"/>
          <w:szCs w:val="20"/>
          <w:color w:val="auto"/>
        </w:rPr>
        <w:t>” means, with respect to any specified Person, such Person’s Affiliates and the respective directors, officers, employees, agents and advisors of such Person and such Person’s Affiliates.</w:t>
      </w:r>
    </w:p>
    <w:p>
      <w:pPr>
        <w:spacing w:after="0" w:line="142" w:lineRule="exact"/>
        <w:rPr>
          <w:sz w:val="20"/>
          <w:szCs w:val="20"/>
          <w:color w:val="auto"/>
        </w:rPr>
      </w:pPr>
    </w:p>
    <w:p>
      <w:pPr>
        <w:ind w:right="8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means any depositing, spilling, leaking, pumping, pouring, emitting, emptying, discharging, injecting, escaping, leaching, seeping, dumping, placing, discarding, abandonment, or disposing into the environment (including abandonment or disposal of any barrel, container or other closed receptacle containing any Hazardous Materials).</w:t>
      </w:r>
    </w:p>
    <w:p>
      <w:pPr>
        <w:spacing w:after="0" w:line="129" w:lineRule="exact"/>
        <w:rPr>
          <w:sz w:val="20"/>
          <w:szCs w:val="20"/>
          <w:color w:val="auto"/>
        </w:rPr>
      </w:pPr>
    </w:p>
    <w:p>
      <w:pPr>
        <w:ind w:firstLine="648"/>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Required Facility Lenders</w:t>
      </w:r>
      <w:r>
        <w:rPr>
          <w:rFonts w:ascii="Arial" w:cs="Arial" w:eastAsia="Arial" w:hAnsi="Arial"/>
          <w:sz w:val="19"/>
          <w:szCs w:val="19"/>
          <w:color w:val="auto"/>
        </w:rPr>
        <w:t xml:space="preserve">” means, with respect to any Facility, the holders of more than 50% of the total Term Loan Exposures or the total Revolving Commitments, as the case may be, outstanding under such Facility (or, in the case of the Revolving Facility, after any termination of the Revolving Commitments, the holders of more than 50% of the total Revolving Credit Exposures);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any Lender shall be a Defaulting Lender, then for so long as such Lender is a Defaulting Lender, “Majority Facility Lenders” means Lenders (excluding all Defaulting Lenders) having more than 50% of the total Term Loan Exposures or the total Revolving Commitments (or total Revolving Credit Exposures), as the case may be, outstanding under such Facility (excluding the Term Loan Exposures, Revolving Commitments and Revolving Credit Exposures, as applicable, of all Defaulting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-23-</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89" w:name="page90"/>
    <w:bookmarkEnd w:id="89"/>
    <w:p>
      <w:pPr>
        <w:ind w:right="20"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Required Lenders</w:t>
      </w:r>
      <w:r>
        <w:rPr>
          <w:rFonts w:ascii="Arial" w:cs="Arial" w:eastAsia="Arial" w:hAnsi="Arial"/>
          <w:sz w:val="19"/>
          <w:szCs w:val="19"/>
          <w:color w:val="auto"/>
        </w:rPr>
        <w:t xml:space="preserve">” means, at any time, Lenders having Term Loan Exposures, Revolving Credit Exposures and unused Commitments representing more than 50% of the sum of the total Term Loan Exposures, Revolving Credit Exposures and unused Commitments at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any of the Lenders shall be a Defaulting Lender, then for so long as such Lender is a Defaulting Lender, “Required Lenders” means Lenders (excluding all Defaulting Lenders) having Term Loan Exposures, Revolving Credit Exposures and unused Commitments representing more than 50% of the sum of the total Term Loan Exposures, Revolving Credit Exposures and unused Commitments of such Lenders (excluding all Defaulting Lenders) at such time.</w:t>
      </w:r>
    </w:p>
    <w:p>
      <w:pPr>
        <w:spacing w:after="0" w:line="146" w:lineRule="exact"/>
        <w:rPr>
          <w:sz w:val="20"/>
          <w:szCs w:val="20"/>
          <w:color w:val="auto"/>
        </w:rPr>
      </w:pPr>
    </w:p>
    <w:p>
      <w:pPr>
        <w:ind w:right="4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Resolution Authority</w:t>
      </w:r>
      <w:r>
        <w:rPr>
          <w:rFonts w:ascii="Arial" w:cs="Arial" w:eastAsia="Arial" w:hAnsi="Arial"/>
          <w:sz w:val="20"/>
          <w:szCs w:val="20"/>
          <w:color w:val="auto"/>
        </w:rPr>
        <w:t xml:space="preserve">” means </w:t>
      </w:r>
      <w:r>
        <w:rPr>
          <w:rFonts w:ascii="Arial" w:cs="Arial" w:eastAsia="Arial" w:hAnsi="Arial"/>
          <w:sz w:val="20"/>
          <w:szCs w:val="20"/>
          <w:color w:val="FF0000"/>
          <w:strike w:val="1"/>
        </w:rPr>
        <w:t>an EEA Resolution Authority or, with respect to any UK Financial Institution, a UK Resolution</w:t>
      </w:r>
      <w:r>
        <w:rPr>
          <w:rFonts w:ascii="Arial" w:cs="Arial" w:eastAsia="Arial" w:hAnsi="Arial"/>
          <w:sz w:val="20"/>
          <w:szCs w:val="20"/>
          <w:color w:val="auto"/>
        </w:rPr>
        <w:t xml:space="preserve"> </w:t>
      </w:r>
      <w:r>
        <w:rPr>
          <w:rFonts w:ascii="Arial" w:cs="Arial" w:eastAsia="Arial" w:hAnsi="Arial"/>
          <w:sz w:val="20"/>
          <w:szCs w:val="20"/>
          <w:color w:val="FF0000"/>
          <w:strike w:val="1"/>
        </w:rPr>
        <w:t>Authority</w:t>
      </w:r>
      <w:r>
        <w:rPr>
          <w:rFonts w:ascii="Arial" w:cs="Arial" w:eastAsia="Arial" w:hAnsi="Arial"/>
          <w:sz w:val="20"/>
          <w:szCs w:val="20"/>
          <w:u w:val="single" w:color="auto"/>
          <w:color w:val="0000FF"/>
          <w:strike w:val="1"/>
        </w:rPr>
        <w:t>any body which has authority to exercise any Write-Down and Conversion Powers.</w:t>
      </w:r>
    </w:p>
    <w:p>
      <w:pPr>
        <w:spacing w:after="0" w:line="128" w:lineRule="exact"/>
        <w:rPr>
          <w:sz w:val="20"/>
          <w:szCs w:val="20"/>
          <w:color w:val="auto"/>
        </w:rPr>
      </w:pPr>
    </w:p>
    <w:p>
      <w:pPr>
        <w:ind w:right="1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Borrowers</w:t>
      </w:r>
      <w:r>
        <w:rPr>
          <w:rFonts w:ascii="Arial" w:cs="Arial" w:eastAsia="Arial" w:hAnsi="Arial"/>
          <w:sz w:val="20"/>
          <w:szCs w:val="20"/>
          <w:color w:val="auto"/>
        </w:rPr>
        <w:t xml:space="preserve">” means, collectively, (a) the Company, (b) Cooper UK, (c) </w:t>
      </w:r>
      <w:r>
        <w:rPr>
          <w:rFonts w:ascii="Arial" w:cs="Arial" w:eastAsia="Arial" w:hAnsi="Arial"/>
          <w:sz w:val="20"/>
          <w:szCs w:val="20"/>
          <w:color w:val="FF0000"/>
          <w:strike w:val="1"/>
        </w:rPr>
        <w:t>Cooper</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Kft</w:t>
      </w:r>
      <w:r>
        <w:rPr>
          <w:rFonts w:ascii="Arial" w:cs="Arial" w:eastAsia="Arial" w:hAnsi="Arial"/>
          <w:sz w:val="20"/>
          <w:szCs w:val="20"/>
          <w:u w:val="single" w:color="auto"/>
          <w:color w:val="0000FF"/>
        </w:rPr>
        <w:t>CooperSurgical UK</w:t>
      </w:r>
      <w:r>
        <w:rPr>
          <w:rFonts w:ascii="Arial" w:cs="Arial" w:eastAsia="Arial" w:hAnsi="Arial"/>
          <w:sz w:val="20"/>
          <w:szCs w:val="20"/>
          <w:color w:val="auto"/>
        </w:rPr>
        <w:t xml:space="preserve"> and (d) any other Additional Revolving Borrower, and “</w:t>
      </w:r>
      <w:r>
        <w:rPr>
          <w:rFonts w:ascii="Arial" w:cs="Arial" w:eastAsia="Arial" w:hAnsi="Arial"/>
          <w:sz w:val="20"/>
          <w:szCs w:val="20"/>
          <w:b w:val="1"/>
          <w:bCs w:val="1"/>
          <w:i w:val="1"/>
          <w:iCs w:val="1"/>
          <w:color w:val="auto"/>
        </w:rPr>
        <w:t>Revolving Borrower</w:t>
      </w:r>
      <w:r>
        <w:rPr>
          <w:rFonts w:ascii="Arial" w:cs="Arial" w:eastAsia="Arial" w:hAnsi="Arial"/>
          <w:sz w:val="20"/>
          <w:szCs w:val="20"/>
          <w:color w:val="auto"/>
        </w:rPr>
        <w:t>” means each of them individually.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Borrowing</w:t>
      </w:r>
      <w:r>
        <w:rPr>
          <w:rFonts w:ascii="Arial" w:cs="Arial" w:eastAsia="Arial" w:hAnsi="Arial"/>
          <w:sz w:val="20"/>
          <w:szCs w:val="20"/>
          <w:color w:val="auto"/>
        </w:rPr>
        <w:t>” means a Borrowing of Revolving Loans.</w:t>
      </w:r>
    </w:p>
    <w:p>
      <w:pPr>
        <w:spacing w:after="0" w:line="162" w:lineRule="exact"/>
        <w:rPr>
          <w:sz w:val="20"/>
          <w:szCs w:val="20"/>
          <w:color w:val="auto"/>
        </w:rPr>
      </w:pPr>
    </w:p>
    <w:p>
      <w:pPr>
        <w:ind w:right="20" w:firstLine="648"/>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Commitment</w:t>
      </w:r>
      <w:r>
        <w:rPr>
          <w:rFonts w:ascii="Arial" w:cs="Arial" w:eastAsia="Arial" w:hAnsi="Arial"/>
          <w:sz w:val="20"/>
          <w:szCs w:val="20"/>
          <w:color w:val="auto"/>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reduced from time to time pursuant to Section 2.09, (b) increased from time to time pursuant to Section 2.04, and (c) reduced or increased from time to time pursuant to assignments by or to such Lender pursuant to Section 10.04. The initial amount of each Lender’s Revolving Commitment is set forth on </w:t>
      </w:r>
      <w:r>
        <w:rPr>
          <w:rFonts w:ascii="Arial" w:cs="Arial" w:eastAsia="Arial" w:hAnsi="Arial"/>
          <w:sz w:val="20"/>
          <w:szCs w:val="20"/>
          <w:u w:val="single" w:color="auto"/>
          <w:color w:val="auto"/>
        </w:rPr>
        <w:t>Schedule 1.01(a)</w:t>
      </w:r>
      <w:r>
        <w:rPr>
          <w:rFonts w:ascii="Arial" w:cs="Arial" w:eastAsia="Arial" w:hAnsi="Arial"/>
          <w:sz w:val="20"/>
          <w:szCs w:val="20"/>
          <w:color w:val="auto"/>
        </w:rPr>
        <w:t>, or in the Additional Credit Extension Amendment or the Assignment and Assumption pursuant to which such Lender shall have assumed its Revolving Commitment, as applicable. The initial aggregate amount of the Lenders’ Revolving Commitments is the Dollar Equivalent of $1,290,000,000.</w:t>
      </w:r>
    </w:p>
    <w:p>
      <w:pPr>
        <w:spacing w:after="0" w:line="129" w:lineRule="exact"/>
        <w:rPr>
          <w:sz w:val="20"/>
          <w:szCs w:val="20"/>
          <w:color w:val="auto"/>
        </w:rPr>
      </w:pPr>
    </w:p>
    <w:p>
      <w:pPr>
        <w:ind w:right="40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Credit Exposure</w:t>
      </w:r>
      <w:r>
        <w:rPr>
          <w:rFonts w:ascii="Arial" w:cs="Arial" w:eastAsia="Arial" w:hAnsi="Arial"/>
          <w:sz w:val="18"/>
          <w:szCs w:val="18"/>
          <w:color w:val="auto"/>
        </w:rPr>
        <w:t>” means, with respect to any Revolving Lender at any time, the Dollar Equivalent of the sum of the outstanding principal amount of such Lender’s Revolving Loans and its LC Exposure and Swingline Exposure at such time.</w:t>
      </w:r>
    </w:p>
    <w:p>
      <w:pPr>
        <w:spacing w:after="0" w:line="117"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Facility</w:t>
      </w:r>
      <w:r>
        <w:rPr>
          <w:rFonts w:ascii="Arial" w:cs="Arial" w:eastAsia="Arial" w:hAnsi="Arial"/>
          <w:sz w:val="20"/>
          <w:szCs w:val="20"/>
          <w:color w:val="auto"/>
        </w:rPr>
        <w:t>” means the Revolving Commitments and the Revolving Loans and Swingline Loans made, and Letters of Credit issued, thereunder.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Lender</w:t>
      </w:r>
      <w:r>
        <w:rPr>
          <w:rFonts w:ascii="Arial" w:cs="Arial" w:eastAsia="Arial" w:hAnsi="Arial"/>
          <w:sz w:val="20"/>
          <w:szCs w:val="20"/>
          <w:color w:val="auto"/>
        </w:rPr>
        <w:t>” means a Lender with a Revolving Commitment or Revolving Credit Exposure.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w:t>
      </w:r>
      <w:r>
        <w:rPr>
          <w:rFonts w:ascii="Arial" w:cs="Arial" w:eastAsia="Arial" w:hAnsi="Arial"/>
          <w:sz w:val="20"/>
          <w:szCs w:val="20"/>
          <w:color w:val="auto"/>
        </w:rPr>
        <w:t>” means a Loan made pursuant to Section 2.01(a) and Section 2.03.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Maturity Date</w:t>
      </w:r>
      <w:r>
        <w:rPr>
          <w:rFonts w:ascii="Arial" w:cs="Arial" w:eastAsia="Arial" w:hAnsi="Arial"/>
          <w:sz w:val="20"/>
          <w:szCs w:val="20"/>
          <w:color w:val="auto"/>
        </w:rPr>
        <w:t>” means April 1, 2025.</w:t>
      </w:r>
    </w:p>
    <w:p>
      <w:pPr>
        <w:spacing w:after="0" w:line="162" w:lineRule="exact"/>
        <w:rPr>
          <w:sz w:val="20"/>
          <w:szCs w:val="20"/>
          <w:color w:val="auto"/>
        </w:rPr>
      </w:pPr>
    </w:p>
    <w:p>
      <w:pPr>
        <w:ind w:right="74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Revolving Percentage</w:t>
      </w:r>
      <w:r>
        <w:rPr>
          <w:rFonts w:ascii="Arial" w:cs="Arial" w:eastAsia="Arial" w:hAnsi="Arial"/>
          <w:sz w:val="16"/>
          <w:szCs w:val="16"/>
          <w:color w:val="auto"/>
        </w:rPr>
        <w:t>” means, with respect to any Revolving Lender, the percentage of the total Revolving Commitments represented by such Lender’s Revolving Commitment. If the Revolving Commitments have terminated or expired, the Revolving Percentages shall be determined based upon the Revolving Commitments most recently in effect, giving effect to any assignments.</w:t>
      </w:r>
    </w:p>
    <w:p>
      <w:pPr>
        <w:spacing w:after="0" w:line="91" w:lineRule="exact"/>
        <w:rPr>
          <w:sz w:val="20"/>
          <w:szCs w:val="20"/>
          <w:color w:val="auto"/>
        </w:rPr>
      </w:pPr>
    </w:p>
    <w:p>
      <w:pPr>
        <w:ind w:right="920" w:firstLine="648"/>
        <w:spacing w:after="0" w:line="229" w:lineRule="auto"/>
        <w:rPr>
          <w:sz w:val="20"/>
          <w:szCs w:val="20"/>
          <w:color w:val="auto"/>
        </w:rPr>
      </w:pPr>
      <w:r>
        <w:rPr>
          <w:rFonts w:ascii="Arial" w:cs="Arial" w:eastAsia="Arial" w:hAnsi="Arial"/>
          <w:sz w:val="20"/>
          <w:szCs w:val="20"/>
          <w:color w:val="008000"/>
          <w:strike w:val="1"/>
        </w:rPr>
        <w:t>“</w:t>
      </w:r>
      <w:r>
        <w:rPr>
          <w:rFonts w:ascii="Arial" w:cs="Arial" w:eastAsia="Arial" w:hAnsi="Arial"/>
          <w:sz w:val="20"/>
          <w:szCs w:val="20"/>
          <w:b w:val="1"/>
          <w:bCs w:val="1"/>
          <w:i w:val="1"/>
          <w:iCs w:val="1"/>
          <w:color w:val="008000"/>
          <w:strike w:val="1"/>
        </w:rPr>
        <w:t>Sanctioned Country</w:t>
      </w:r>
      <w:r>
        <w:rPr>
          <w:rFonts w:ascii="Arial" w:cs="Arial" w:eastAsia="Arial" w:hAnsi="Arial"/>
          <w:sz w:val="20"/>
          <w:szCs w:val="20"/>
          <w:color w:val="008000"/>
          <w:strike w:val="1"/>
        </w:rPr>
        <w:t>” means a country, region or territory which is itself the subject or target of any Sanctions Laws and Regulations.</w:t>
      </w:r>
    </w:p>
    <w:p>
      <w:pPr>
        <w:spacing w:after="0" w:line="142"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Sale and Lease-Back Transaction</w:t>
      </w:r>
      <w:r>
        <w:rPr>
          <w:rFonts w:ascii="Arial" w:cs="Arial" w:eastAsia="Arial" w:hAnsi="Arial"/>
          <w:sz w:val="20"/>
          <w:szCs w:val="20"/>
          <w:color w:val="auto"/>
        </w:rPr>
        <w:t>” means any arrangement with any Person providing for the leasing by the Company or any Subsidiary of the Company of any property (except for temporary leases for a term, including any renewal thereof, of not more than one year and except for leases between a Borrower and a Subsidiary or between Subsidiaries), which property has been or is to be sold or transferred by the Company or such Subsidiary to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-24-</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180"/>
          </w:cols>
          <w:pgMar w:left="320" w:top="1405" w:right="399" w:bottom="1440" w:gutter="0" w:footer="0" w:header="0"/>
        </w:sectPr>
      </w:pPr>
    </w:p>
    <w:bookmarkStart w:id="90" w:name="page91"/>
    <w:bookmarkEnd w:id="90"/>
    <w:p>
      <w:pPr>
        <w:ind w:right="980" w:firstLine="648"/>
        <w:spacing w:after="0" w:line="229" w:lineRule="auto"/>
        <w:rPr>
          <w:sz w:val="20"/>
          <w:szCs w:val="20"/>
          <w:color w:val="auto"/>
        </w:rPr>
      </w:pPr>
      <w:r>
        <w:rPr>
          <w:rFonts w:ascii="Arial" w:cs="Arial" w:eastAsia="Arial" w:hAnsi="Arial"/>
          <w:sz w:val="20"/>
          <w:szCs w:val="20"/>
          <w:u w:val="single" w:color="auto"/>
          <w:color w:val="008000"/>
        </w:rPr>
        <w:t>“</w:t>
      </w:r>
      <w:r>
        <w:rPr>
          <w:rFonts w:ascii="Arial" w:cs="Arial" w:eastAsia="Arial" w:hAnsi="Arial"/>
          <w:sz w:val="20"/>
          <w:szCs w:val="20"/>
          <w:b w:val="1"/>
          <w:bCs w:val="1"/>
          <w:i w:val="1"/>
          <w:iCs w:val="1"/>
          <w:u w:val="single" w:color="auto"/>
          <w:color w:val="008000"/>
        </w:rPr>
        <w:t>Sanctioned Country</w:t>
      </w:r>
      <w:r>
        <w:rPr>
          <w:rFonts w:ascii="Arial" w:cs="Arial" w:eastAsia="Arial" w:hAnsi="Arial"/>
          <w:sz w:val="20"/>
          <w:szCs w:val="20"/>
          <w:u w:val="single" w:color="auto"/>
          <w:color w:val="008000"/>
        </w:rPr>
        <w:t>” means a country, region or territory which is itself the subject or target of any Sanctions Laws and Regulations.</w:t>
      </w:r>
    </w:p>
    <w:p>
      <w:pPr>
        <w:spacing w:after="0" w:line="142" w:lineRule="exact"/>
        <w:rPr>
          <w:sz w:val="20"/>
          <w:szCs w:val="20"/>
          <w:color w:val="auto"/>
        </w:rPr>
      </w:pPr>
    </w:p>
    <w:p>
      <w:pPr>
        <w:ind w:right="200"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Sanctions Laws and Regulations</w:t>
      </w:r>
      <w:r>
        <w:rPr>
          <w:rFonts w:ascii="Arial" w:cs="Arial" w:eastAsia="Arial" w:hAnsi="Arial"/>
          <w:sz w:val="19"/>
          <w:szCs w:val="19"/>
          <w:color w:val="auto"/>
        </w:rPr>
        <w:t>” means any economic or financial sanctions or trade embargoes, imposed, administered, or enforced from time to time by the U.S. government (including those administered by OFAC), the European Union, Her Majesty’s Treasury, the Government of Canada, the United Nations Security Council or other relevant sanctions authority.</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w:t>
      </w:r>
      <w:r>
        <w:rPr>
          <w:rFonts w:ascii="Arial" w:cs="Arial" w:eastAsia="Arial" w:hAnsi="Arial"/>
          <w:sz w:val="20"/>
          <w:szCs w:val="20"/>
          <w:color w:val="auto"/>
        </w:rPr>
        <w:t xml:space="preserve">” means the Securities and Exchange Commission of the United </w:t>
      </w:r>
      <w:r>
        <w:rPr>
          <w:rFonts w:ascii="Arial" w:cs="Arial" w:eastAsia="Arial" w:hAnsi="Arial"/>
          <w:sz w:val="20"/>
          <w:szCs w:val="20"/>
          <w:color w:val="FF0000"/>
          <w:strike w:val="1"/>
        </w:rPr>
        <w:t>State</w:t>
      </w:r>
      <w:r>
        <w:rPr>
          <w:rFonts w:ascii="Arial" w:cs="Arial" w:eastAsia="Arial" w:hAnsi="Arial"/>
          <w:sz w:val="20"/>
          <w:szCs w:val="20"/>
          <w:u w:val="single" w:color="auto"/>
          <w:color w:val="0000FF"/>
        </w:rPr>
        <w:t>States</w:t>
      </w:r>
      <w:r>
        <w:rPr>
          <w:rFonts w:ascii="Arial" w:cs="Arial" w:eastAsia="Arial" w:hAnsi="Arial"/>
          <w:sz w:val="20"/>
          <w:szCs w:val="20"/>
          <w:color w:val="auto"/>
        </w:rPr>
        <w:t xml:space="preserve"> of America.</w:t>
      </w:r>
    </w:p>
    <w:p>
      <w:pPr>
        <w:spacing w:after="0" w:line="162" w:lineRule="exact"/>
        <w:rPr>
          <w:sz w:val="20"/>
          <w:szCs w:val="20"/>
          <w:color w:val="auto"/>
        </w:rPr>
      </w:pPr>
    </w:p>
    <w:p>
      <w:pPr>
        <w:ind w:right="20"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Solvent</w:t>
      </w:r>
      <w:r>
        <w:rPr>
          <w:rFonts w:ascii="Arial" w:cs="Arial" w:eastAsia="Arial" w:hAnsi="Arial"/>
          <w:sz w:val="19"/>
          <w:szCs w:val="19"/>
          <w:color w:val="auto"/>
        </w:rPr>
        <w:t>” when used with respect to any Person, means that, as of any date of determination, (a) the fair saleable value of its assets is in excess of the total amount of its liabilities (including, without limitation, contingent liabilities); (b) the present fair saleable value of its assets is greater than the probable liability on its existing debts as such debts become absolute and matured; (c) it is then able and expects to be able to pay its debts (including, without limitation, contingent debts and other commitments) as they mature; and (d) it has capital sufficient to carry on its business as conducted and as proposed to be conducted.</w:t>
      </w:r>
    </w:p>
    <w:p>
      <w:pPr>
        <w:spacing w:after="0" w:line="142" w:lineRule="exact"/>
        <w:rPr>
          <w:sz w:val="20"/>
          <w:szCs w:val="20"/>
          <w:color w:val="auto"/>
        </w:rPr>
      </w:pPr>
    </w:p>
    <w:p>
      <w:pPr>
        <w:ind w:firstLine="648"/>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Standard Permitted Lien</w:t>
      </w:r>
      <w:r>
        <w:rPr>
          <w:rFonts w:ascii="Arial" w:cs="Arial" w:eastAsia="Arial" w:hAnsi="Arial"/>
          <w:sz w:val="16"/>
          <w:szCs w:val="16"/>
          <w:color w:val="auto"/>
        </w:rPr>
        <w:t>” means any of the following: (i) Liens for Taxes not yet delinquent or Liens for Taxes, assessments or governmental charges being contested in good faith and by appropriate proceedings for which adequate reserves in accordance with GAAP have been established; (ii) Liens in respect of property or assets imposed by law that were incurred in the ordinary course of business, such as carriers’, suppliers’, warehousemen’s, materialmen’s and mechanics’ Liens and other similar Liens arising in the ordinary course of business, that do not in the aggregate materially detract from the value of such property or assets or materially impair the use thereof in the operation of the business of the Borrowers or any of their Subsidiaries and do not secure any Indebtedness; (iii) Liens arising from judgments, decrees or attachments in circumstances not constituting an Event of Default under Section 7.01(k); (iv) Liens (other than any Lien imposed by ERISA) incurred or deposits made in the ordinary course of business in connection with workers compensation, unemployment insurance and other types of social security, and mechanic’s Liens, carrier’s Liens, and other Liens to secure the performance of tenders, statutory obligations, contract bids, government contracts, surety, appeal, customs, performance and return-of-money bonds and other similar obligations, incurred in the ordinary course of business (exclusive of obligations in respect of the payment for borrowed money), whether pursuant to statutory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-25-</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91" w:name="page92"/>
    <w:bookmarkEnd w:id="91"/>
    <w:p>
      <w:pPr>
        <w:ind w:right="200"/>
        <w:spacing w:after="0" w:line="250" w:lineRule="auto"/>
        <w:rPr>
          <w:sz w:val="20"/>
          <w:szCs w:val="20"/>
          <w:color w:val="auto"/>
        </w:rPr>
      </w:pPr>
      <w:r>
        <w:rPr>
          <w:rFonts w:ascii="Arial" w:cs="Arial" w:eastAsia="Arial" w:hAnsi="Arial"/>
          <w:sz w:val="16"/>
          <w:szCs w:val="16"/>
          <w:color w:val="auto"/>
        </w:rPr>
        <w:t>requirements, common law or consensual arrangements; (v) leases or subleases granted in the ordinary course of business to others not interfering in any material respect with the business of the Borrowers or any of their Subsidiaries and any interest or title of a lessor under any lease not in violation of this Agreement; (vi) easements, rights-of-way, zoning or other restrictions, charges, encumbrances, defects in title, prior rights of other Persons, and obligations contained in similar instruments, in each case that do not secure Indebtedness and do not involve, and are not likely to involve at any future time, either individually or in the aggregate, (A) a substantial and prolonged interruption or disruption of the business activities of the Borrowers and their Subsidiaries considered as an entirety, or (B) a Material Adverse Effect;</w:t>
      </w:r>
    </w:p>
    <w:p>
      <w:pPr>
        <w:jc w:val="both"/>
        <w:ind w:firstLine="8"/>
        <w:spacing w:after="0" w:line="215" w:lineRule="auto"/>
        <w:tabs>
          <w:tab w:leader="none" w:pos="390"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Liens arising from the rights of lessors under leases (including financing statements regarding property subject to lease) not in violation of the requirements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Liens are only in respect of the property subject to, and secure only, the respective lease (and any other lease with the same or an affiliated lessor); (viii) rights of consignors of goods, whether or not perfected by the filing of a financing statement under the UCC; (ix) licenses of intellectual property of the Borrowers or any of their Subsidiaries granted in the ordinary course of business; and (x) any security interest or right to set off arising under the general terms and conditions (</w:t>
      </w:r>
      <w:r>
        <w:rPr>
          <w:rFonts w:ascii="Arial" w:cs="Arial" w:eastAsia="Arial" w:hAnsi="Arial"/>
          <w:sz w:val="19"/>
          <w:szCs w:val="19"/>
          <w:i w:val="1"/>
          <w:iCs w:val="1"/>
          <w:color w:val="auto"/>
        </w:rPr>
        <w:t>algemene voorwaarden</w:t>
      </w:r>
      <w:r>
        <w:rPr>
          <w:rFonts w:ascii="Arial" w:cs="Arial" w:eastAsia="Arial" w:hAnsi="Arial"/>
          <w:sz w:val="19"/>
          <w:szCs w:val="19"/>
          <w:color w:val="auto"/>
        </w:rPr>
        <w:t>) of any member of the Dutch Bankers’ Association (</w:t>
      </w:r>
      <w:r>
        <w:rPr>
          <w:rFonts w:ascii="Arial" w:cs="Arial" w:eastAsia="Arial" w:hAnsi="Arial"/>
          <w:sz w:val="19"/>
          <w:szCs w:val="19"/>
          <w:i w:val="1"/>
          <w:iCs w:val="1"/>
          <w:color w:val="auto"/>
        </w:rPr>
        <w:t>Nederlandse Vereniging van Banken</w:t>
      </w:r>
      <w:r>
        <w:rPr>
          <w:rFonts w:ascii="Arial" w:cs="Arial" w:eastAsia="Arial" w:hAnsi="Arial"/>
          <w:sz w:val="19"/>
          <w:szCs w:val="19"/>
          <w:color w:val="auto"/>
        </w:rPr>
        <w:t>).</w:t>
      </w:r>
    </w:p>
    <w:p>
      <w:pPr>
        <w:spacing w:after="0" w:line="146" w:lineRule="exact"/>
        <w:rPr>
          <w:sz w:val="20"/>
          <w:szCs w:val="20"/>
          <w:color w:val="auto"/>
        </w:rPr>
      </w:pPr>
    </w:p>
    <w:p>
      <w:pPr>
        <w:ind w:right="160" w:firstLine="648"/>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w:t>
      </w:r>
      <w:r>
        <w:rPr>
          <w:rFonts w:ascii="Arial" w:cs="Arial" w:eastAsia="Arial" w:hAnsi="Arial"/>
          <w:sz w:val="18"/>
          <w:szCs w:val="18"/>
          <w:color w:val="FF0000"/>
          <w:strike w:val="1"/>
        </w:rPr>
        <w:t>voting power</w:t>
      </w:r>
      <w:r>
        <w:rPr>
          <w:rFonts w:ascii="Arial" w:cs="Arial" w:eastAsia="Arial" w:hAnsi="Arial"/>
          <w:sz w:val="18"/>
          <w:szCs w:val="18"/>
          <w:u w:val="single" w:color="auto"/>
          <w:color w:val="0000FF"/>
        </w:rPr>
        <w:t>Voting Power</w:t>
      </w:r>
      <w:r>
        <w:rPr>
          <w:rFonts w:ascii="Arial" w:cs="Arial" w:eastAsia="Arial" w:hAnsi="Arial"/>
          <w:sz w:val="18"/>
          <w:szCs w:val="18"/>
          <w:color w:val="auto"/>
        </w:rPr>
        <w:t xml:space="preserve">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subsidiary of the Company.</w:t>
      </w:r>
    </w:p>
    <w:p>
      <w:pPr>
        <w:spacing w:after="0" w:line="162" w:lineRule="exact"/>
        <w:rPr>
          <w:sz w:val="20"/>
          <w:szCs w:val="20"/>
          <w:color w:val="auto"/>
        </w:rPr>
      </w:pPr>
    </w:p>
    <w:p>
      <w:pPr>
        <w:jc w:val="both"/>
        <w:ind w:right="8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 Guarantors</w:t>
      </w:r>
      <w:r>
        <w:rPr>
          <w:rFonts w:ascii="Arial" w:cs="Arial" w:eastAsia="Arial" w:hAnsi="Arial"/>
          <w:sz w:val="20"/>
          <w:szCs w:val="20"/>
          <w:color w:val="auto"/>
        </w:rPr>
        <w:t>” means, collectively, each Domestic Subsidiary (other than an Excluded Subsidiary) and that is or hereafter becomes a party to the Subsidiary Guaranty, and “</w:t>
      </w:r>
      <w:r>
        <w:rPr>
          <w:rFonts w:ascii="Arial" w:cs="Arial" w:eastAsia="Arial" w:hAnsi="Arial"/>
          <w:sz w:val="20"/>
          <w:szCs w:val="20"/>
          <w:b w:val="1"/>
          <w:bCs w:val="1"/>
          <w:i w:val="1"/>
          <w:iCs w:val="1"/>
          <w:color w:val="auto"/>
        </w:rPr>
        <w:t>Subsidiary Guarantor</w:t>
      </w:r>
      <w:r>
        <w:rPr>
          <w:rFonts w:ascii="Arial" w:cs="Arial" w:eastAsia="Arial" w:hAnsi="Arial"/>
          <w:sz w:val="20"/>
          <w:szCs w:val="20"/>
          <w:color w:val="auto"/>
        </w:rPr>
        <w:t xml:space="preserve">” means any one of them individually. </w:t>
      </w:r>
      <w:r>
        <w:rPr>
          <w:rFonts w:ascii="Arial" w:cs="Arial" w:eastAsia="Arial" w:hAnsi="Arial"/>
          <w:sz w:val="20"/>
          <w:szCs w:val="20"/>
          <w:u w:val="single" w:color="auto"/>
          <w:color w:val="auto"/>
        </w:rPr>
        <w:t>Schedule 1.01(b)</w:t>
      </w:r>
      <w:r>
        <w:rPr>
          <w:rFonts w:ascii="Arial" w:cs="Arial" w:eastAsia="Arial" w:hAnsi="Arial"/>
          <w:sz w:val="20"/>
          <w:szCs w:val="20"/>
          <w:color w:val="auto"/>
        </w:rPr>
        <w:t xml:space="preserve"> hereto lists each Subsidiary Guarantor as of the Closing Date.</w:t>
      </w:r>
    </w:p>
    <w:p>
      <w:pPr>
        <w:spacing w:after="0" w:line="143" w:lineRule="exact"/>
        <w:rPr>
          <w:sz w:val="20"/>
          <w:szCs w:val="20"/>
          <w:color w:val="auto"/>
        </w:rPr>
      </w:pPr>
    </w:p>
    <w:p>
      <w:pPr>
        <w:ind w:right="6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 Guaranty</w:t>
      </w:r>
      <w:r>
        <w:rPr>
          <w:rFonts w:ascii="Arial" w:cs="Arial" w:eastAsia="Arial" w:hAnsi="Arial"/>
          <w:sz w:val="20"/>
          <w:szCs w:val="20"/>
          <w:color w:val="auto"/>
        </w:rPr>
        <w:t>” means the Subsidiary Guaranty dated as of the date hereof, as supplemented from time to time, by the Subsidiary Guarantors in favor of the Administrative Agent.</w:t>
      </w:r>
    </w:p>
    <w:p>
      <w:pPr>
        <w:spacing w:after="0" w:line="128" w:lineRule="exact"/>
        <w:rPr>
          <w:sz w:val="20"/>
          <w:szCs w:val="20"/>
          <w:color w:val="auto"/>
        </w:rPr>
      </w:pPr>
    </w:p>
    <w:p>
      <w:pPr>
        <w:ind w:right="28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Swap Obligation</w:t>
      </w:r>
      <w:r>
        <w:rPr>
          <w:rFonts w:ascii="Arial" w:cs="Arial" w:eastAsia="Arial" w:hAnsi="Arial"/>
          <w:sz w:val="18"/>
          <w:szCs w:val="18"/>
          <w:color w:val="auto"/>
        </w:rPr>
        <w:t>” means, with respect to any Borrower or any Subsidiary Guarantor, any obligation to pay or perform under any agreement, contract or transaction that constitutes a “swap” within the meaning of Section 1a(47) of the Commodity Exchange Act.</w:t>
      </w:r>
    </w:p>
    <w:p>
      <w:pPr>
        <w:spacing w:after="0" w:line="117" w:lineRule="exact"/>
        <w:rPr>
          <w:sz w:val="20"/>
          <w:szCs w:val="20"/>
          <w:color w:val="auto"/>
        </w:rPr>
      </w:pPr>
    </w:p>
    <w:p>
      <w:pPr>
        <w:ind w:right="44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its Revolving Percentage of the total Swingline Exposure at such time.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Lender</w:t>
      </w:r>
      <w:r>
        <w:rPr>
          <w:rFonts w:ascii="Arial" w:cs="Arial" w:eastAsia="Arial" w:hAnsi="Arial"/>
          <w:sz w:val="20"/>
          <w:szCs w:val="20"/>
          <w:color w:val="auto"/>
        </w:rPr>
        <w:t>” means KeyBank National Association, in its capacity as lender of Swingline Loans hereunder.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Loan</w:t>
      </w:r>
      <w:r>
        <w:rPr>
          <w:rFonts w:ascii="Arial" w:cs="Arial" w:eastAsia="Arial" w:hAnsi="Arial"/>
          <w:sz w:val="20"/>
          <w:szCs w:val="20"/>
          <w:color w:val="auto"/>
        </w:rPr>
        <w:t>” means a Loan made pursuant to Section 2.05.</w:t>
      </w:r>
    </w:p>
    <w:p>
      <w:pPr>
        <w:spacing w:after="0" w:line="162" w:lineRule="exact"/>
        <w:rPr>
          <w:sz w:val="20"/>
          <w:szCs w:val="20"/>
          <w:color w:val="auto"/>
        </w:rPr>
      </w:pPr>
    </w:p>
    <w:p>
      <w:pPr>
        <w:ind w:right="8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Syndication Agent</w:t>
      </w:r>
      <w:r>
        <w:rPr>
          <w:rFonts w:ascii="Arial" w:cs="Arial" w:eastAsia="Arial" w:hAnsi="Arial"/>
          <w:sz w:val="20"/>
          <w:szCs w:val="20"/>
          <w:color w:val="auto"/>
        </w:rPr>
        <w:t>” means each of PNC Bank, National Association, and TD Bank, N.A., as syndication agents under this Agreement.</w:t>
      </w:r>
    </w:p>
    <w:p>
      <w:pPr>
        <w:spacing w:after="0" w:line="142" w:lineRule="exact"/>
        <w:rPr>
          <w:sz w:val="20"/>
          <w:szCs w:val="20"/>
          <w:color w:val="auto"/>
        </w:rPr>
      </w:pPr>
    </w:p>
    <w:p>
      <w:pPr>
        <w:ind w:right="3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Synthetic Lease</w:t>
      </w:r>
      <w:r>
        <w:rPr>
          <w:rFonts w:ascii="Arial" w:cs="Arial" w:eastAsia="Arial" w:hAnsi="Arial"/>
          <w:sz w:val="20"/>
          <w:szCs w:val="20"/>
          <w:color w:val="auto"/>
        </w:rPr>
        <w:t>” means any lease (i) that is accounted for by the lessee as an Operating Lease, and (ii) under which the lessee is intended to be the “owner” of the leased property for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-26-</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92" w:name="page93"/>
    <w:bookmarkEnd w:id="92"/>
    <w:p>
      <w:pPr>
        <w:ind w:right="48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similar charges imposed by any Governmental Authority, including any interest, additions to tax or penalties applicable thereto.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Facility</w:t>
      </w:r>
      <w:r>
        <w:rPr>
          <w:rFonts w:ascii="Arial" w:cs="Arial" w:eastAsia="Arial" w:hAnsi="Arial"/>
          <w:sz w:val="20"/>
          <w:szCs w:val="20"/>
          <w:color w:val="auto"/>
        </w:rPr>
        <w:t>” means the Term Loan Commitments and the Term Loans made thereunder.</w:t>
      </w:r>
    </w:p>
    <w:p>
      <w:pPr>
        <w:spacing w:after="0" w:line="148" w:lineRule="exact"/>
        <w:rPr>
          <w:sz w:val="20"/>
          <w:szCs w:val="20"/>
          <w:color w:val="auto"/>
        </w:rPr>
      </w:pPr>
    </w:p>
    <w:p>
      <w:pPr>
        <w:ind w:right="3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Loan</w:t>
      </w:r>
      <w:r>
        <w:rPr>
          <w:rFonts w:ascii="Arial" w:cs="Arial" w:eastAsia="Arial" w:hAnsi="Arial"/>
          <w:sz w:val="20"/>
          <w:szCs w:val="20"/>
          <w:color w:val="auto"/>
        </w:rPr>
        <w:t>” means a Loan made pursuant to Section 2.01(b) and Section 2.03, and includes any Incremental Term Loans made pursuant to Section 2.04.</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Loan Borrower</w:t>
      </w:r>
      <w:r>
        <w:rPr>
          <w:rFonts w:ascii="Arial" w:cs="Arial" w:eastAsia="Arial" w:hAnsi="Arial"/>
          <w:sz w:val="20"/>
          <w:szCs w:val="20"/>
          <w:color w:val="auto"/>
        </w:rPr>
        <w:t>” means the Company.</w:t>
      </w:r>
    </w:p>
    <w:p>
      <w:pPr>
        <w:spacing w:after="0" w:line="162" w:lineRule="exact"/>
        <w:rPr>
          <w:sz w:val="20"/>
          <w:szCs w:val="20"/>
          <w:color w:val="auto"/>
        </w:rPr>
      </w:pPr>
    </w:p>
    <w:p>
      <w:pPr>
        <w:ind w:right="40"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 Loan Commitment</w:t>
      </w:r>
      <w:r>
        <w:rPr>
          <w:rFonts w:ascii="Arial" w:cs="Arial" w:eastAsia="Arial" w:hAnsi="Arial"/>
          <w:sz w:val="19"/>
          <w:szCs w:val="19"/>
          <w:color w:val="auto"/>
        </w:rPr>
        <w:t xml:space="preserve">” means, with respect to each Term Loan Lender, the commitment of such Lender to make Term Loans hereunder, including any Incremental Term Loan Commitments. The initial amount of each Lender’s Term Loan Commitment is set forth on </w:t>
      </w:r>
      <w:r>
        <w:rPr>
          <w:rFonts w:ascii="Arial" w:cs="Arial" w:eastAsia="Arial" w:hAnsi="Arial"/>
          <w:sz w:val="19"/>
          <w:szCs w:val="19"/>
          <w:u w:val="single" w:color="auto"/>
          <w:color w:val="auto"/>
        </w:rPr>
        <w:t>Schedule 1.01(a)</w:t>
      </w:r>
      <w:r>
        <w:rPr>
          <w:rFonts w:ascii="Arial" w:cs="Arial" w:eastAsia="Arial" w:hAnsi="Arial"/>
          <w:sz w:val="19"/>
          <w:szCs w:val="19"/>
          <w:color w:val="auto"/>
        </w:rPr>
        <w:t>. The initial aggregate amount of the Lenders’ Term Loan Commitments is $850,000,000.</w:t>
      </w:r>
    </w:p>
    <w:p>
      <w:pPr>
        <w:spacing w:after="0" w:line="128" w:lineRule="exact"/>
        <w:rPr>
          <w:sz w:val="20"/>
          <w:szCs w:val="20"/>
          <w:color w:val="auto"/>
        </w:rPr>
      </w:pPr>
    </w:p>
    <w:p>
      <w:pPr>
        <w:ind w:right="6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Loan Exposure</w:t>
      </w:r>
      <w:r>
        <w:rPr>
          <w:rFonts w:ascii="Arial" w:cs="Arial" w:eastAsia="Arial" w:hAnsi="Arial"/>
          <w:sz w:val="20"/>
          <w:szCs w:val="20"/>
          <w:color w:val="auto"/>
        </w:rPr>
        <w:t>” means, with respect to any Term Loan Lender at any time, the outstanding principal amount of such Lender’s Term Loans.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Loan Lender</w:t>
      </w:r>
      <w:r>
        <w:rPr>
          <w:rFonts w:ascii="Arial" w:cs="Arial" w:eastAsia="Arial" w:hAnsi="Arial"/>
          <w:sz w:val="20"/>
          <w:szCs w:val="20"/>
          <w:color w:val="auto"/>
        </w:rPr>
        <w:t>” means a Lender with a Term Loan Commitment or Term Loan Exposure.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Loan Maturity Date</w:t>
      </w:r>
      <w:r>
        <w:rPr>
          <w:rFonts w:ascii="Arial" w:cs="Arial" w:eastAsia="Arial" w:hAnsi="Arial"/>
          <w:sz w:val="20"/>
          <w:szCs w:val="20"/>
          <w:color w:val="auto"/>
        </w:rPr>
        <w:t>” means April 1, 2025.</w:t>
      </w:r>
    </w:p>
    <w:p>
      <w:pPr>
        <w:spacing w:after="0" w:line="148"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Testing Period</w:t>
      </w:r>
      <w:r>
        <w:rPr>
          <w:rFonts w:ascii="Arial" w:cs="Arial" w:eastAsia="Arial" w:hAnsi="Arial"/>
          <w:sz w:val="20"/>
          <w:szCs w:val="20"/>
          <w:color w:val="auto"/>
        </w:rPr>
        <w:t>” means a single period consisting of the four consecutive fiscal quarters of the Company then last ended (whether or not such quarters are all within the same fiscal year), except that if a particular provision of this Agreement indicates that a Testing Period shall be of a different specified duration, such Testing Period shall consist of the particular fiscal quarter or quarters then last ended that are so indicated in such provision.</w:t>
      </w:r>
    </w:p>
    <w:p>
      <w:pPr>
        <w:spacing w:after="0" w:line="142" w:lineRule="exact"/>
        <w:rPr>
          <w:sz w:val="20"/>
          <w:szCs w:val="20"/>
          <w:color w:val="auto"/>
        </w:rPr>
      </w:pPr>
    </w:p>
    <w:p>
      <w:pPr>
        <w:ind w:right="1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Leverage Ratio</w:t>
      </w:r>
      <w:r>
        <w:rPr>
          <w:rFonts w:ascii="Arial" w:cs="Arial" w:eastAsia="Arial" w:hAnsi="Arial"/>
          <w:sz w:val="20"/>
          <w:szCs w:val="20"/>
          <w:color w:val="auto"/>
        </w:rPr>
        <w:t>” means, for any Testing Period, the ratio of (i) Consolidated Net Indebtedness to (ii) Consolidated EBITDA, calculated on a Pro Forma Basis.</w:t>
      </w:r>
    </w:p>
    <w:p>
      <w:pPr>
        <w:spacing w:after="0" w:line="142" w:lineRule="exact"/>
        <w:rPr>
          <w:sz w:val="20"/>
          <w:szCs w:val="20"/>
          <w:color w:val="auto"/>
        </w:rPr>
      </w:pPr>
    </w:p>
    <w:p>
      <w:pPr>
        <w:ind w:right="14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means the execution, delivery and performance by the Borrowers and the other Loan Parties of this Agreement and the other Loan Documents, the borrowing of Loans, the use of the proceeds thereof and the issuance of Letters of Credit hereunder.</w:t>
      </w:r>
    </w:p>
    <w:p>
      <w:pPr>
        <w:spacing w:after="0" w:line="103" w:lineRule="exact"/>
        <w:rPr>
          <w:sz w:val="20"/>
          <w:szCs w:val="20"/>
          <w:color w:val="auto"/>
        </w:rPr>
      </w:pPr>
    </w:p>
    <w:p>
      <w:pPr>
        <w:ind w:right="540"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Type</w:t>
      </w:r>
      <w:r>
        <w:rPr>
          <w:rFonts w:ascii="Arial" w:cs="Arial" w:eastAsia="Arial" w:hAnsi="Arial"/>
          <w:sz w:val="20"/>
          <w:szCs w:val="20"/>
          <w:color w:val="auto"/>
        </w:rPr>
        <w:t>”, when used in reference to any Loan or Borrowing, refers to whether the rate of interest on such Loan, or on the Loans comprising such Borrowing, is determined by reference to the Adjusted LIBO Rate, the Alternate Base Rate or the Adjusted Foreign Currency Rate.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0000FF"/>
        </w:rPr>
        <w:t>“</w:t>
      </w:r>
      <w:r>
        <w:rPr>
          <w:rFonts w:ascii="Arial" w:cs="Arial" w:eastAsia="Arial" w:hAnsi="Arial"/>
          <w:sz w:val="20"/>
          <w:szCs w:val="20"/>
          <w:b w:val="1"/>
          <w:bCs w:val="1"/>
          <w:i w:val="1"/>
          <w:iCs w:val="1"/>
          <w:u w:val="single" w:color="auto"/>
          <w:color w:val="0000FF"/>
        </w:rPr>
        <w:t>UK</w:t>
      </w:r>
      <w:r>
        <w:rPr>
          <w:rFonts w:ascii="Arial" w:cs="Arial" w:eastAsia="Arial" w:hAnsi="Arial"/>
          <w:sz w:val="20"/>
          <w:szCs w:val="20"/>
          <w:u w:val="single" w:color="auto"/>
          <w:color w:val="0000FF"/>
        </w:rPr>
        <w:t>” or “</w:t>
      </w:r>
      <w:r>
        <w:rPr>
          <w:rFonts w:ascii="Arial" w:cs="Arial" w:eastAsia="Arial" w:hAnsi="Arial"/>
          <w:sz w:val="20"/>
          <w:szCs w:val="20"/>
          <w:b w:val="1"/>
          <w:bCs w:val="1"/>
          <w:i w:val="1"/>
          <w:iCs w:val="1"/>
          <w:u w:val="single" w:color="auto"/>
          <w:color w:val="0000FF"/>
        </w:rPr>
        <w:t>United Kingdom</w:t>
      </w:r>
      <w:r>
        <w:rPr>
          <w:rFonts w:ascii="Arial" w:cs="Arial" w:eastAsia="Arial" w:hAnsi="Arial"/>
          <w:sz w:val="20"/>
          <w:szCs w:val="20"/>
          <w:u w:val="single" w:color="auto"/>
          <w:color w:val="0000FF"/>
        </w:rPr>
        <w:t>” means the United Kingdom of Great Britain and Northern Ireland.</w:t>
      </w:r>
    </w:p>
    <w:p>
      <w:pPr>
        <w:spacing w:after="0" w:line="162" w:lineRule="exact"/>
        <w:rPr>
          <w:sz w:val="20"/>
          <w:szCs w:val="20"/>
          <w:color w:val="auto"/>
        </w:rPr>
      </w:pPr>
    </w:p>
    <w:p>
      <w:pPr>
        <w:ind w:right="40" w:firstLine="648"/>
        <w:spacing w:after="0" w:line="229"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UK Bail-In Legislation</w:t>
      </w:r>
      <w:r>
        <w:rPr>
          <w:rFonts w:ascii="Arial" w:cs="Arial" w:eastAsia="Arial" w:hAnsi="Arial"/>
          <w:sz w:val="20"/>
          <w:szCs w:val="20"/>
          <w:u w:val="single" w:color="auto"/>
          <w:color w:val="0000FF"/>
        </w:rPr>
        <w:t>” means (to the extent that the United Kingdom is not an EEA Member Country which has implemented, or implements, Article 55 BRRD) Part I of the UK Banking Act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-27-</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180"/>
          </w:cols>
          <w:pgMar w:left="320" w:top="1405" w:right="399" w:bottom="1440" w:gutter="0" w:footer="0" w:header="0"/>
        </w:sectPr>
      </w:pPr>
    </w:p>
    <w:bookmarkStart w:id="93" w:name="page94"/>
    <w:bookmarkEnd w:id="93"/>
    <w:p>
      <w:pPr>
        <w:ind w:right="140"/>
        <w:spacing w:after="0" w:line="269" w:lineRule="auto"/>
        <w:rPr>
          <w:sz w:val="20"/>
          <w:szCs w:val="20"/>
          <w:color w:val="auto"/>
        </w:rPr>
      </w:pPr>
      <w:r>
        <w:rPr>
          <w:rFonts w:ascii="Arial" w:cs="Arial" w:eastAsia="Arial" w:hAnsi="Arial"/>
          <w:sz w:val="18"/>
          <w:szCs w:val="18"/>
          <w:u w:val="single" w:color="auto"/>
          <w:color w:val="0000FF"/>
        </w:rPr>
        <w:t xml:space="preserve">and any other law or regulation </w:t>
      </w:r>
      <w:r>
        <w:rPr>
          <w:rFonts w:ascii="Arial" w:cs="Arial" w:eastAsia="Arial" w:hAnsi="Arial"/>
          <w:sz w:val="18"/>
          <w:szCs w:val="18"/>
          <w:u w:val="single" w:color="auto"/>
          <w:color w:val="008000"/>
        </w:rPr>
        <w:t>applicable in the United Kingdom relating to the resolution of unsound or failing banks, investment firms or</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other financial institutions or their affiliates (</w:t>
      </w:r>
      <w:r>
        <w:rPr>
          <w:rFonts w:ascii="Arial" w:cs="Arial" w:eastAsia="Arial" w:hAnsi="Arial"/>
          <w:sz w:val="18"/>
          <w:szCs w:val="18"/>
          <w:u w:val="single" w:color="auto"/>
          <w:color w:val="0000FF"/>
        </w:rPr>
        <w:t>otherwise</w:t>
      </w:r>
      <w:r>
        <w:rPr>
          <w:rFonts w:ascii="Arial" w:cs="Arial" w:eastAsia="Arial" w:hAnsi="Arial"/>
          <w:sz w:val="18"/>
          <w:szCs w:val="18"/>
          <w:u w:val="single" w:color="auto"/>
          <w:color w:val="008000"/>
        </w:rPr>
        <w:t xml:space="preserve"> than through liquidation, administration or other insolvency proceedings).</w:t>
      </w:r>
    </w:p>
    <w:p>
      <w:pPr>
        <w:spacing w:after="0" w:line="117" w:lineRule="exact"/>
        <w:rPr>
          <w:sz w:val="20"/>
          <w:szCs w:val="20"/>
          <w:color w:val="auto"/>
        </w:rPr>
      </w:pPr>
    </w:p>
    <w:p>
      <w:pPr>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29" w:lineRule="exact"/>
        <w:rPr>
          <w:sz w:val="20"/>
          <w:szCs w:val="20"/>
          <w:color w:val="auto"/>
        </w:rPr>
      </w:pPr>
    </w:p>
    <w:p>
      <w:pPr>
        <w:ind w:right="360" w:firstLine="648"/>
        <w:spacing w:after="0" w:line="229"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UK Resolution Authority</w:t>
      </w:r>
      <w:r>
        <w:rPr>
          <w:rFonts w:ascii="Arial" w:cs="Arial" w:eastAsia="Arial" w:hAnsi="Arial"/>
          <w:sz w:val="20"/>
          <w:szCs w:val="20"/>
          <w:color w:val="FF0000"/>
          <w:strike w:val="1"/>
        </w:rPr>
        <w:t>” means the Bank of England or any other public administrative authority having responsibility for the resolution of any UK Financial Institution.</w:t>
      </w:r>
    </w:p>
    <w:p>
      <w:pPr>
        <w:spacing w:after="0" w:line="142" w:lineRule="exact"/>
        <w:rPr>
          <w:sz w:val="20"/>
          <w:szCs w:val="20"/>
          <w:color w:val="auto"/>
        </w:rPr>
      </w:pPr>
    </w:p>
    <w:p>
      <w:pPr>
        <w:ind w:right="220"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Unrestricted Cash</w:t>
      </w:r>
      <w:r>
        <w:rPr>
          <w:rFonts w:ascii="Arial" w:cs="Arial" w:eastAsia="Arial" w:hAnsi="Arial"/>
          <w:sz w:val="20"/>
          <w:szCs w:val="20"/>
          <w:color w:val="auto"/>
        </w:rPr>
        <w:t>” means, at any time of determination, the sum of (i) the aggregate amount of all cash deposits of the Company and its Subsidiaries maintained in any demand deposit account, and (ii) the aggregate monetary value of all money market funds of the Company and its Subsidiaries maintained in any account of a securities intermediary, to the extent such cash deposits and money market funds are free of any Lien or other encumbrance (other than (x) customary Liens arising in the ordinary course of business which the depository institution may have with respect to any right of offset against funds in such account, and (y) customary holds for uncollected deposits).</w:t>
      </w:r>
    </w:p>
    <w:p>
      <w:pPr>
        <w:spacing w:after="0" w:line="146" w:lineRule="exact"/>
        <w:rPr>
          <w:sz w:val="20"/>
          <w:szCs w:val="20"/>
          <w:color w:val="auto"/>
        </w:rPr>
      </w:pPr>
    </w:p>
    <w:p>
      <w:pPr>
        <w:ind w:right="3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Unused Total Revolving Commitment</w:t>
      </w:r>
      <w:r>
        <w:rPr>
          <w:rFonts w:ascii="Arial" w:cs="Arial" w:eastAsia="Arial" w:hAnsi="Arial"/>
          <w:sz w:val="20"/>
          <w:szCs w:val="20"/>
          <w:color w:val="auto"/>
        </w:rPr>
        <w:t>” means, at any time, the excess of (i) the sum of the Lenders’ Revolving Commitments at such time over (ii) the sum of the Lenders’ Revolving Credit Exposure at such time.</w:t>
      </w:r>
    </w:p>
    <w:p>
      <w:pPr>
        <w:spacing w:after="0" w:line="128" w:lineRule="exact"/>
        <w:rPr>
          <w:sz w:val="20"/>
          <w:szCs w:val="20"/>
          <w:color w:val="auto"/>
        </w:rPr>
      </w:pPr>
    </w:p>
    <w:p>
      <w:pPr>
        <w:ind w:right="280" w:firstLine="648"/>
        <w:spacing w:after="0" w:line="218"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USA PATRIOT Act</w:t>
      </w:r>
      <w:r>
        <w:rPr>
          <w:rFonts w:ascii="Arial" w:cs="Arial" w:eastAsia="Arial" w:hAnsi="Arial"/>
          <w:sz w:val="20"/>
          <w:szCs w:val="20"/>
          <w:u w:val="single" w:color="auto"/>
          <w:color w:val="0000FF"/>
        </w:rPr>
        <w:t>” means The Uniting and Strengthening America by Providing Appropriate Tools Required to Intercept and Obstruct Terrorism Act of 2001 (Title III of Pub. L. No. 107-56 (signed into law October 26, 2001)), as amended or modified from time to time.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Person</w:t>
      </w:r>
      <w:r>
        <w:rPr>
          <w:rFonts w:ascii="Arial" w:cs="Arial" w:eastAsia="Arial" w:hAnsi="Arial"/>
          <w:sz w:val="20"/>
          <w:szCs w:val="20"/>
          <w:color w:val="auto"/>
        </w:rPr>
        <w:t>” means a “</w:t>
      </w:r>
      <w:r>
        <w:rPr>
          <w:rFonts w:ascii="Arial" w:cs="Arial" w:eastAsia="Arial" w:hAnsi="Arial"/>
          <w:sz w:val="20"/>
          <w:szCs w:val="20"/>
          <w:b w:val="1"/>
          <w:bCs w:val="1"/>
          <w:i w:val="1"/>
          <w:iCs w:val="1"/>
          <w:color w:val="auto"/>
        </w:rPr>
        <w:t>United States person</w:t>
      </w:r>
      <w:r>
        <w:rPr>
          <w:rFonts w:ascii="Arial" w:cs="Arial" w:eastAsia="Arial" w:hAnsi="Arial"/>
          <w:sz w:val="20"/>
          <w:szCs w:val="20"/>
          <w:color w:val="auto"/>
        </w:rPr>
        <w:t>” within the meaning of Section 7701(a)(30)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has the meaning assigned to such term in Section 2.17(f)(ii)(B)(3).</w:t>
      </w:r>
    </w:p>
    <w:p>
      <w:pPr>
        <w:spacing w:after="0" w:line="148" w:lineRule="exact"/>
        <w:rPr>
          <w:sz w:val="20"/>
          <w:szCs w:val="20"/>
          <w:color w:val="auto"/>
        </w:rPr>
      </w:pPr>
    </w:p>
    <w:p>
      <w:pPr>
        <w:ind w:right="40"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Voting Power</w:t>
      </w:r>
      <w:r>
        <w:rPr>
          <w:rFonts w:ascii="Arial" w:cs="Arial" w:eastAsia="Arial" w:hAnsi="Arial"/>
          <w:sz w:val="19"/>
          <w:szCs w:val="19"/>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 such Person, and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42" w:lineRule="exact"/>
        <w:rPr>
          <w:sz w:val="20"/>
          <w:szCs w:val="20"/>
          <w:color w:val="auto"/>
        </w:rPr>
      </w:pPr>
    </w:p>
    <w:p>
      <w:pPr>
        <w:ind w:right="100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Withholding Agent</w:t>
      </w:r>
      <w:r>
        <w:rPr>
          <w:rFonts w:ascii="Arial" w:cs="Arial" w:eastAsia="Arial" w:hAnsi="Arial"/>
          <w:sz w:val="20"/>
          <w:szCs w:val="20"/>
          <w:color w:val="auto"/>
        </w:rPr>
        <w:t>” means any Loan Party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-28-</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94" w:name="page95"/>
    <w:bookmarkEnd w:id="94"/>
    <w:p>
      <w:pPr>
        <w:ind w:right="20" w:firstLine="648"/>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Write-Down and Conversion Powers</w:t>
      </w:r>
      <w:r>
        <w:rPr>
          <w:rFonts w:ascii="Arial" w:cs="Arial" w:eastAsia="Arial" w:hAnsi="Arial"/>
          <w:sz w:val="18"/>
          <w:szCs w:val="18"/>
          <w:color w:val="auto"/>
        </w:rPr>
        <w:t xml:space="preserve">” means, (a) </w:t>
      </w:r>
      <w:r>
        <w:rPr>
          <w:rFonts w:ascii="Arial" w:cs="Arial" w:eastAsia="Arial" w:hAnsi="Arial"/>
          <w:sz w:val="18"/>
          <w:szCs w:val="18"/>
          <w:color w:val="FF0000"/>
          <w:strike w:val="1"/>
        </w:rPr>
        <w:t>with respect to any EEA Resolution Authority, the writedown and conversion</w:t>
      </w:r>
      <w:r>
        <w:rPr>
          <w:rFonts w:ascii="Arial" w:cs="Arial" w:eastAsia="Arial" w:hAnsi="Arial"/>
          <w:sz w:val="18"/>
          <w:szCs w:val="18"/>
          <w:color w:val="auto"/>
        </w:rPr>
        <w:t xml:space="preserve"> </w:t>
      </w:r>
      <w:r>
        <w:rPr>
          <w:rFonts w:ascii="Arial" w:cs="Arial" w:eastAsia="Arial" w:hAnsi="Arial"/>
          <w:sz w:val="18"/>
          <w:szCs w:val="18"/>
          <w:color w:val="FF0000"/>
          <w:strike w:val="1"/>
        </w:rPr>
        <w:t>powers of such EEA Resolution Authority from time to time under the</w:t>
      </w:r>
      <w:r>
        <w:rPr>
          <w:rFonts w:ascii="Arial" w:cs="Arial" w:eastAsia="Arial" w:hAnsi="Arial"/>
          <w:sz w:val="18"/>
          <w:szCs w:val="18"/>
          <w:u w:val="single" w:color="auto"/>
          <w:color w:val="0000FF"/>
        </w:rPr>
        <w:t>in relation to any</w:t>
      </w:r>
      <w:r>
        <w:rPr>
          <w:rFonts w:ascii="Arial" w:cs="Arial" w:eastAsia="Arial" w:hAnsi="Arial"/>
          <w:sz w:val="18"/>
          <w:szCs w:val="18"/>
          <w:color w:val="FF0000"/>
        </w:rPr>
        <w:t xml:space="preserve"> </w:t>
      </w:r>
      <w:r>
        <w:rPr>
          <w:rFonts w:ascii="Arial" w:cs="Arial" w:eastAsia="Arial" w:hAnsi="Arial"/>
          <w:sz w:val="18"/>
          <w:szCs w:val="18"/>
          <w:color w:val="000000"/>
        </w:rPr>
        <w:t>Bail-In Legislation</w:t>
      </w:r>
      <w:r>
        <w:rPr>
          <w:rFonts w:ascii="Arial" w:cs="Arial" w:eastAsia="Arial" w:hAnsi="Arial"/>
          <w:sz w:val="18"/>
          <w:szCs w:val="18"/>
          <w:color w:val="FF0000"/>
        </w:rPr>
        <w:t xml:space="preserve"> </w:t>
      </w:r>
      <w:r>
        <w:rPr>
          <w:rFonts w:ascii="Arial" w:cs="Arial" w:eastAsia="Arial" w:hAnsi="Arial"/>
          <w:sz w:val="18"/>
          <w:szCs w:val="18"/>
          <w:color w:val="FF0000"/>
          <w:strike w:val="1"/>
        </w:rPr>
        <w:t>for the applicable EEA Member</w:t>
      </w:r>
      <w:r>
        <w:rPr>
          <w:rFonts w:ascii="Arial" w:cs="Arial" w:eastAsia="Arial" w:hAnsi="Arial"/>
          <w:sz w:val="18"/>
          <w:szCs w:val="18"/>
          <w:color w:val="FF0000"/>
        </w:rPr>
        <w:t xml:space="preserve"> </w:t>
      </w:r>
      <w:r>
        <w:rPr>
          <w:rFonts w:ascii="Arial" w:cs="Arial" w:eastAsia="Arial" w:hAnsi="Arial"/>
          <w:sz w:val="18"/>
          <w:szCs w:val="18"/>
          <w:color w:val="FF0000"/>
          <w:strike w:val="1"/>
        </w:rPr>
        <w:t>Country, which write- down and conversion powers are</w:t>
      </w:r>
      <w:r>
        <w:rPr>
          <w:rFonts w:ascii="Arial" w:cs="Arial" w:eastAsia="Arial" w:hAnsi="Arial"/>
          <w:sz w:val="18"/>
          <w:szCs w:val="18"/>
          <w:color w:val="FF0000"/>
        </w:rPr>
        <w:t xml:space="preserve"> </w:t>
      </w:r>
      <w:r>
        <w:rPr>
          <w:rFonts w:ascii="Arial" w:cs="Arial" w:eastAsia="Arial" w:hAnsi="Arial"/>
          <w:sz w:val="18"/>
          <w:szCs w:val="18"/>
          <w:color w:val="000000"/>
        </w:rPr>
        <w:t>described in the EU Bail-In Legislation Schedule, and (b)</w:t>
      </w:r>
      <w:r>
        <w:rPr>
          <w:rFonts w:ascii="Arial" w:cs="Arial" w:eastAsia="Arial" w:hAnsi="Arial"/>
          <w:sz w:val="18"/>
          <w:szCs w:val="18"/>
          <w:color w:val="FF0000"/>
        </w:rPr>
        <w:t xml:space="preserve"> </w:t>
      </w:r>
      <w:r>
        <w:rPr>
          <w:rFonts w:ascii="Arial" w:cs="Arial" w:eastAsia="Arial" w:hAnsi="Arial"/>
          <w:sz w:val="18"/>
          <w:szCs w:val="18"/>
          <w:color w:val="FF0000"/>
          <w:strike w:val="1"/>
        </w:rPr>
        <w:t>with respect to the United</w:t>
      </w:r>
      <w:r>
        <w:rPr>
          <w:rFonts w:ascii="Arial" w:cs="Arial" w:eastAsia="Arial" w:hAnsi="Arial"/>
          <w:sz w:val="18"/>
          <w:szCs w:val="18"/>
          <w:color w:val="FF0000"/>
        </w:rPr>
        <w:t xml:space="preserve"> </w:t>
      </w:r>
      <w:r>
        <w:rPr>
          <w:rFonts w:ascii="Arial" w:cs="Arial" w:eastAsia="Arial" w:hAnsi="Arial"/>
          <w:sz w:val="18"/>
          <w:szCs w:val="18"/>
          <w:color w:val="FF0000"/>
          <w:strike w:val="1"/>
        </w:rPr>
        <w:t>Kingdom</w:t>
      </w:r>
      <w:r>
        <w:rPr>
          <w:rFonts w:ascii="Arial" w:cs="Arial" w:eastAsia="Arial" w:hAnsi="Arial"/>
          <w:sz w:val="18"/>
          <w:szCs w:val="18"/>
          <w:u w:val="single" w:color="auto"/>
          <w:color w:val="0000FF"/>
          <w:strike w:val="1"/>
        </w:rPr>
        <w:t>from time to time, the powers described as such in relation to that Bail-In Legislation in the EU Bail-In Legislation Schedule, (b) in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relation to the UK Bail-In Legislation</w:t>
      </w:r>
      <w:r>
        <w:rPr>
          <w:rFonts w:ascii="Arial" w:cs="Arial" w:eastAsia="Arial" w:hAnsi="Arial"/>
          <w:sz w:val="18"/>
          <w:szCs w:val="18"/>
          <w:color w:val="000000"/>
          <w:strike w:val="1"/>
        </w:rPr>
        <w:t>, any powers</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of the applicable Resolution Authority</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under</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the</w:t>
      </w:r>
      <w:r>
        <w:rPr>
          <w:rFonts w:ascii="Arial" w:cs="Arial" w:eastAsia="Arial" w:hAnsi="Arial"/>
          <w:sz w:val="18"/>
          <w:szCs w:val="18"/>
          <w:u w:val="single" w:color="auto"/>
          <w:color w:val="0000FF"/>
          <w:strike w:val="1"/>
        </w:rPr>
        <w:t>that UK</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Bail-In Legislation</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to cancel,</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transfer or dilute shares issued by a person that is a bank or investment firm or other financial institution or affiliate of a bank, investment firm or other financial institution,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to cancel, reduce, modify or change the form of a liability of</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any UK Financial Institution</w:t>
      </w:r>
      <w:r>
        <w:rPr>
          <w:rFonts w:ascii="Arial" w:cs="Arial" w:eastAsia="Arial" w:hAnsi="Arial"/>
          <w:sz w:val="18"/>
          <w:szCs w:val="18"/>
          <w:u w:val="single" w:color="auto"/>
          <w:color w:val="0000FF"/>
          <w:strike w:val="1"/>
        </w:rPr>
        <w:t>such a person or</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 (c) in relation to any other applicable Bail-In Legislation, (i)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or any contract or instrument under</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r>
        <w:rPr>
          <w:rFonts w:ascii="Arial" w:cs="Arial" w:eastAsia="Arial" w:hAnsi="Arial"/>
          <w:sz w:val="18"/>
          <w:szCs w:val="18"/>
          <w:color w:val="0000FF"/>
          <w:strike w:val="1"/>
        </w:rPr>
        <w:t>and (ii) any similar</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or analogous powers under that Bail-In Legislation</w:t>
      </w:r>
      <w:r>
        <w:rPr>
          <w:rFonts w:ascii="Arial" w:cs="Arial" w:eastAsia="Arial" w:hAnsi="Arial"/>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2795270</wp:posOffset>
            </wp:positionH>
            <wp:positionV relativeFrom="paragraph">
              <wp:posOffset>-1747520</wp:posOffset>
            </wp:positionV>
            <wp:extent cx="31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6019800</wp:posOffset>
            </wp:positionH>
            <wp:positionV relativeFrom="paragraph">
              <wp:posOffset>-144780</wp:posOffset>
            </wp:positionV>
            <wp:extent cx="9906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990600" cy="8890"/>
                    </a:xfrm>
                    <a:prstGeom prst="rect">
                      <a:avLst/>
                    </a:prstGeom>
                    <a:noFill/>
                  </pic:spPr>
                </pic:pic>
              </a:graphicData>
            </a:graphic>
          </wp:anchor>
        </w:drawing>
      </w:r>
    </w:p>
    <w:p>
      <w:pPr>
        <w:spacing w:after="0" w:line="126" w:lineRule="exact"/>
        <w:rPr>
          <w:sz w:val="20"/>
          <w:szCs w:val="20"/>
          <w:color w:val="auto"/>
        </w:rPr>
      </w:pPr>
    </w:p>
    <w:p>
      <w:pPr>
        <w:ind w:right="80" w:firstLine="648"/>
        <w:spacing w:after="0" w:line="213"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For purposes of this Agreement, Loans may be classified and referred to by Class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w:t>
      </w:r>
      <w:r>
        <w:rPr>
          <w:rFonts w:ascii="Arial" w:cs="Arial" w:eastAsia="Arial" w:hAnsi="Arial"/>
          <w:sz w:val="20"/>
          <w:szCs w:val="20"/>
          <w:b w:val="1"/>
          <w:bCs w:val="1"/>
          <w:i w:val="1"/>
          <w:iCs w:val="1"/>
          <w:color w:val="auto"/>
        </w:rPr>
        <w:t>Revolving Loan</w:t>
      </w:r>
      <w:r>
        <w:rPr>
          <w:rFonts w:ascii="Arial" w:cs="Arial" w:eastAsia="Arial" w:hAnsi="Arial"/>
          <w:sz w:val="20"/>
          <w:szCs w:val="20"/>
          <w:color w:val="auto"/>
        </w:rPr>
        <w:t>”) or by Type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w:t>
      </w:r>
      <w:r>
        <w:rPr>
          <w:rFonts w:ascii="Arial" w:cs="Arial" w:eastAsia="Arial" w:hAnsi="Arial"/>
          <w:sz w:val="20"/>
          <w:szCs w:val="20"/>
          <w:b w:val="1"/>
          <w:bCs w:val="1"/>
          <w:i w:val="1"/>
          <w:iCs w:val="1"/>
          <w:color w:val="auto"/>
        </w:rPr>
        <w:t>Eurodollar Loan</w:t>
      </w:r>
      <w:r>
        <w:rPr>
          <w:rFonts w:ascii="Arial" w:cs="Arial" w:eastAsia="Arial" w:hAnsi="Arial"/>
          <w:sz w:val="20"/>
          <w:szCs w:val="20"/>
          <w:color w:val="auto"/>
        </w:rPr>
        <w:t>”) or by Class and Type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w:t>
      </w:r>
      <w:r>
        <w:rPr>
          <w:rFonts w:ascii="Arial" w:cs="Arial" w:eastAsia="Arial" w:hAnsi="Arial"/>
          <w:sz w:val="20"/>
          <w:szCs w:val="20"/>
          <w:b w:val="1"/>
          <w:bCs w:val="1"/>
          <w:i w:val="1"/>
          <w:iCs w:val="1"/>
          <w:color w:val="auto"/>
        </w:rPr>
        <w:t>Eurodollar Revolving Loan</w:t>
      </w:r>
      <w:r>
        <w:rPr>
          <w:rFonts w:ascii="Arial" w:cs="Arial" w:eastAsia="Arial" w:hAnsi="Arial"/>
          <w:sz w:val="20"/>
          <w:szCs w:val="20"/>
          <w:color w:val="auto"/>
        </w:rPr>
        <w:t>”). Borrowings also may be classified and referred to by Class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w:t>
      </w:r>
      <w:r>
        <w:rPr>
          <w:rFonts w:ascii="Arial" w:cs="Arial" w:eastAsia="Arial" w:hAnsi="Arial"/>
          <w:sz w:val="20"/>
          <w:szCs w:val="20"/>
          <w:b w:val="1"/>
          <w:bCs w:val="1"/>
          <w:i w:val="1"/>
          <w:iCs w:val="1"/>
          <w:color w:val="auto"/>
        </w:rPr>
        <w:t>Revolving Borrowing</w:t>
      </w:r>
      <w:r>
        <w:rPr>
          <w:rFonts w:ascii="Arial" w:cs="Arial" w:eastAsia="Arial" w:hAnsi="Arial"/>
          <w:sz w:val="20"/>
          <w:szCs w:val="20"/>
          <w:color w:val="auto"/>
        </w:rPr>
        <w:t>”) or by Type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w:t>
      </w:r>
      <w:r>
        <w:rPr>
          <w:rFonts w:ascii="Arial" w:cs="Arial" w:eastAsia="Arial" w:hAnsi="Arial"/>
          <w:sz w:val="20"/>
          <w:szCs w:val="20"/>
          <w:b w:val="1"/>
          <w:bCs w:val="1"/>
          <w:i w:val="1"/>
          <w:iCs w:val="1"/>
          <w:color w:val="auto"/>
        </w:rPr>
        <w:t>Eurodollar Borrowing</w:t>
      </w:r>
      <w:r>
        <w:rPr>
          <w:rFonts w:ascii="Arial" w:cs="Arial" w:eastAsia="Arial" w:hAnsi="Arial"/>
          <w:sz w:val="20"/>
          <w:szCs w:val="20"/>
          <w:color w:val="auto"/>
        </w:rPr>
        <w:t>”) or by Class and Type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w:t>
      </w:r>
      <w:r>
        <w:rPr>
          <w:rFonts w:ascii="Arial" w:cs="Arial" w:eastAsia="Arial" w:hAnsi="Arial"/>
          <w:sz w:val="20"/>
          <w:szCs w:val="20"/>
          <w:b w:val="1"/>
          <w:bCs w:val="1"/>
          <w:i w:val="1"/>
          <w:iCs w:val="1"/>
          <w:color w:val="auto"/>
        </w:rPr>
        <w:t>Eurodollar Revolving Borrowing</w:t>
      </w:r>
      <w:r>
        <w:rPr>
          <w:rFonts w:ascii="Arial" w:cs="Arial" w:eastAsia="Arial" w:hAnsi="Arial"/>
          <w:sz w:val="20"/>
          <w:szCs w:val="20"/>
          <w:color w:val="auto"/>
        </w:rPr>
        <w:t>”).</w:t>
      </w:r>
    </w:p>
    <w:p>
      <w:pPr>
        <w:spacing w:after="0" w:line="129" w:lineRule="exact"/>
        <w:rPr>
          <w:sz w:val="20"/>
          <w:szCs w:val="20"/>
          <w:color w:val="auto"/>
        </w:rPr>
      </w:pPr>
    </w:p>
    <w:p>
      <w:pPr>
        <w:ind w:firstLine="648"/>
        <w:spacing w:after="0" w:line="212"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the word “regulation” includes any regulation, rule, official directive, request or guideline (whether or not having the force of law) of any governmental, intergovernmental or supranational body, agency, department or of any regulatory, self-regulatory or other authority or organization.</w:t>
      </w:r>
    </w:p>
    <w:p>
      <w:pPr>
        <w:spacing w:after="0" w:line="147" w:lineRule="exact"/>
        <w:rPr>
          <w:sz w:val="20"/>
          <w:szCs w:val="20"/>
          <w:color w:val="auto"/>
        </w:rPr>
      </w:pPr>
    </w:p>
    <w:p>
      <w:pPr>
        <w:ind w:right="20" w:firstLine="648"/>
        <w:spacing w:after="0" w:line="216"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whether a lease constitutes a capital lease or an operating lease shall be determined based on GAAP as in effect on December 31, 2018, notwithstanding any modification or interpretative change thereto after such date (including without giving effect to any treatment of leases under Accounting Standards Codification 842 (or any other Accounting Standards Codification or Financial Accounting Standard having or purporting to have a similar result or effect));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if the Company notifies the Administrative Agent that the Borrowers request an amendment to any provision hereof to</w:t>
      </w:r>
      <w:r>
        <w:rPr>
          <w:rFonts w:ascii="Arial" w:cs="Arial" w:eastAsia="Arial" w:hAnsi="Arial"/>
          <w:sz w:val="19"/>
          <w:szCs w:val="19"/>
          <w:i w:val="1"/>
          <w:iCs w:val="1"/>
          <w:color w:val="auto"/>
        </w:rPr>
        <w:t xml:space="preserve"> </w:t>
      </w:r>
      <w:r>
        <w:rPr>
          <w:rFonts w:ascii="Arial" w:cs="Arial" w:eastAsia="Arial" w:hAnsi="Arial"/>
          <w:sz w:val="19"/>
          <w:szCs w:val="19"/>
          <w:color w:val="auto"/>
        </w:rPr>
        <w:t>eliminate the effect of any change occurring after the date hereof in GAAP or in the application thereof on the operation of such provision (or if the Administrative Agent notifies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-29-</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95" w:name="page96"/>
    <w:bookmarkEnd w:id="95"/>
    <w:p>
      <w:pPr>
        <w:ind w:right="100"/>
        <w:spacing w:after="0" w:line="205" w:lineRule="auto"/>
        <w:rPr>
          <w:sz w:val="20"/>
          <w:szCs w:val="20"/>
          <w:color w:val="auto"/>
        </w:rPr>
      </w:pPr>
      <w:r>
        <w:rPr>
          <w:rFonts w:ascii="Arial" w:cs="Arial" w:eastAsia="Arial" w:hAnsi="Arial"/>
          <w:sz w:val="20"/>
          <w:szCs w:val="20"/>
          <w:color w:val="auto"/>
        </w:rPr>
        <w:t>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any Borrower or any Subsidiary at “fair value”, as defined therein.</w:t>
      </w:r>
    </w:p>
    <w:p>
      <w:pPr>
        <w:spacing w:after="0" w:line="143" w:lineRule="exact"/>
        <w:rPr>
          <w:sz w:val="20"/>
          <w:szCs w:val="20"/>
          <w:color w:val="auto"/>
        </w:rPr>
      </w:pPr>
    </w:p>
    <w:p>
      <w:pPr>
        <w:ind w:firstLine="648"/>
        <w:spacing w:after="0" w:line="226"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Currency Equivalents</w:t>
      </w:r>
      <w:r>
        <w:rPr>
          <w:rFonts w:ascii="Arial" w:cs="Arial" w:eastAsia="Arial" w:hAnsi="Arial"/>
          <w:sz w:val="18"/>
          <w:szCs w:val="18"/>
          <w:color w:val="auto"/>
        </w:rPr>
        <w:t xml:space="preserve">. Except as otherwise specified herein, all references herein or in any other Loan Document to a Dollar amount shall mean such amount in dollars or, if the context so requires, the Dollar Equivalent of such amount in any Designated Foreign Currency. The Dollar Equivalent of any amount shall be determined in accordance with the definition of “Dollar Equivalent”;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notwithstanding the foregoing or anything elsewhere in this Agreement to the contrary, in calculating the Dollar</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of any amount for purposes of determining (i) a Borrower’s obligation to prepay Loans or cash collateralize Letters of Credit pursuant to Section 2.06(j), or (ii) a Borrower’s ability to request additional Loans or Letters of Credit pursuant to the Commitments, the Administrative Agent shall calculate the Dollar Equivalent of each such amount on the date of each Borrowing, conversion or continuation of any Borrowing or issuance of any Letter of Credit hereunder and on the date of any payment or prepayment of any Loans or reimbursement of any Letter of Credit and, in addition, the Administrative Agent may, in the case of either of the foregoing, in its discretion, calculate the Dollar Equivalent of any such amount on any other proximate Business Day selected by the Administrative Agent.</w:t>
      </w:r>
    </w:p>
    <w:p>
      <w:pPr>
        <w:spacing w:after="0" w:line="130" w:lineRule="exact"/>
        <w:rPr>
          <w:sz w:val="20"/>
          <w:szCs w:val="20"/>
          <w:color w:val="auto"/>
        </w:rPr>
      </w:pPr>
    </w:p>
    <w:p>
      <w:pPr>
        <w:ind w:firstLine="648"/>
        <w:spacing w:after="0" w:line="223"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LIBOR Notification</w:t>
      </w:r>
      <w:r>
        <w:rPr>
          <w:rFonts w:ascii="Arial" w:cs="Arial" w:eastAsia="Arial" w:hAnsi="Arial"/>
          <w:sz w:val="18"/>
          <w:szCs w:val="18"/>
          <w:color w:val="auto"/>
        </w:rPr>
        <w:t>. The interest rate on Eurodollar Loans is determined by reference to the Adjusted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8"/>
          <w:szCs w:val="18"/>
          <w:b w:val="1"/>
          <w:bCs w:val="1"/>
          <w:i w:val="1"/>
          <w:iCs w:val="1"/>
          <w:color w:val="auto"/>
        </w:rPr>
        <w:t>IBA</w:t>
      </w:r>
      <w:r>
        <w:rPr>
          <w:rFonts w:ascii="Arial" w:cs="Arial" w:eastAsia="Arial" w:hAnsi="Arial"/>
          <w:sz w:val="18"/>
          <w:szCs w:val="18"/>
          <w:color w:val="auto"/>
        </w:rPr>
        <w:t xml:space="preserve">”)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In the event that the London interbank offered rate is no longer available or in certain other circumstances as set forth in Section 2.23 of this Agreement, such Section 2.23 provides a mechanism for determining an alternative rate of interest. The Administrative Agent will notify the Company, pursuant to Section 2.23, in advance of any change to the reference rate upon which the interest rate on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Eurodollar</w:t>
      </w:r>
      <w:r>
        <w:rPr>
          <w:rFonts w:ascii="Arial" w:cs="Arial" w:eastAsia="Arial" w:hAnsi="Arial"/>
          <w:sz w:val="18"/>
          <w:szCs w:val="18"/>
          <w:color w:val="auto"/>
        </w:rPr>
        <w:t xml:space="preserve"> Loans is based. </w:t>
      </w:r>
      <w:r>
        <w:rPr>
          <w:rFonts w:ascii="Arial" w:cs="Arial" w:eastAsia="Arial" w:hAnsi="Arial"/>
          <w:sz w:val="18"/>
          <w:szCs w:val="18"/>
          <w:color w:val="FF0000"/>
          <w:strike w:val="1"/>
        </w:rPr>
        <w:t>However, the</w:t>
      </w:r>
      <w:r>
        <w:rPr>
          <w:rFonts w:ascii="Arial" w:cs="Arial" w:eastAsia="Arial" w:hAnsi="Arial"/>
          <w:sz w:val="18"/>
          <w:szCs w:val="18"/>
          <w:color w:val="auto"/>
        </w:rPr>
        <w:t xml:space="preserve"> </w:t>
      </w:r>
      <w:r>
        <w:rPr>
          <w:rFonts w:ascii="Arial" w:cs="Arial" w:eastAsia="Arial" w:hAnsi="Arial"/>
          <w:sz w:val="18"/>
          <w:szCs w:val="18"/>
          <w:color w:val="008000"/>
          <w:strike w:val="1"/>
        </w:rPr>
        <w:t>Administrative Agent does not warrant or</w:t>
      </w:r>
      <w:r>
        <w:rPr>
          <w:rFonts w:ascii="Arial" w:cs="Arial" w:eastAsia="Arial" w:hAnsi="Arial"/>
          <w:sz w:val="18"/>
          <w:szCs w:val="18"/>
          <w:color w:val="auto"/>
        </w:rPr>
        <w:t xml:space="preserve"> </w:t>
      </w:r>
      <w:r>
        <w:rPr>
          <w:rFonts w:ascii="Arial" w:cs="Arial" w:eastAsia="Arial" w:hAnsi="Arial"/>
          <w:sz w:val="18"/>
          <w:szCs w:val="18"/>
          <w:color w:val="008000"/>
          <w:strike w:val="1"/>
        </w:rPr>
        <w:t>accept any responsibility for, and shall not have any liability with respect to, the administration, submission or any other matter related to</w:t>
      </w:r>
      <w:r>
        <w:rPr>
          <w:rFonts w:ascii="Arial" w:cs="Arial" w:eastAsia="Arial" w:hAnsi="Arial"/>
          <w:sz w:val="18"/>
          <w:szCs w:val="18"/>
          <w:color w:val="008000"/>
        </w:rPr>
        <w:t xml:space="preserve"> </w:t>
      </w:r>
      <w:r>
        <w:rPr>
          <w:rFonts w:ascii="Arial" w:cs="Arial" w:eastAsia="Arial" w:hAnsi="Arial"/>
          <w:sz w:val="18"/>
          <w:szCs w:val="18"/>
          <w:color w:val="FF0000"/>
        </w:rPr>
        <w:t>the</w:t>
      </w:r>
      <w:r>
        <w:rPr>
          <w:rFonts w:ascii="Arial" w:cs="Arial" w:eastAsia="Arial" w:hAnsi="Arial"/>
          <w:sz w:val="18"/>
          <w:szCs w:val="18"/>
          <w:color w:val="008000"/>
        </w:rPr>
        <w:t xml:space="preserve"> </w:t>
      </w:r>
      <w:r>
        <w:rPr>
          <w:rFonts w:ascii="Arial" w:cs="Arial" w:eastAsia="Arial" w:hAnsi="Arial"/>
          <w:sz w:val="18"/>
          <w:szCs w:val="18"/>
          <w:color w:val="FF0000"/>
          <w:strike w:val="1"/>
        </w:rPr>
        <w:t>London interbank offered rate or other rates in the definition of “</w:t>
      </w:r>
      <w:r>
        <w:rPr>
          <w:rFonts w:ascii="Arial" w:cs="Arial" w:eastAsia="Arial" w:hAnsi="Arial"/>
          <w:sz w:val="18"/>
          <w:szCs w:val="18"/>
          <w:b w:val="1"/>
          <w:bCs w:val="1"/>
          <w:i w:val="1"/>
          <w:iCs w:val="1"/>
          <w:color w:val="FF0000"/>
          <w:strike w:val="1"/>
        </w:rPr>
        <w:t>Adjusted LIBO Rate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or with respect to any alternative or successor rate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thereto, or replacement rate therefor or thereof, including, without limitation, whether the composition or characteristics of any such alternative, successor or replacement reference rate, as it may or may not be adjusted pursuant to Section 2.23, will be similar to, or produce the same value or economic equivalence of, </w:t>
      </w:r>
      <w:r>
        <w:rPr>
          <w:rFonts w:ascii="Arial" w:cs="Arial" w:eastAsia="Arial" w:hAnsi="Arial"/>
          <w:sz w:val="18"/>
          <w:szCs w:val="18"/>
          <w:color w:val="FF0000"/>
          <w:strike w:val="1"/>
        </w:rPr>
        <w:t>the Adjusted LIBO Rate or</w:t>
      </w:r>
      <w:r>
        <w:rPr>
          <w:rFonts w:ascii="Arial" w:cs="Arial" w:eastAsia="Arial" w:hAnsi="Arial"/>
          <w:sz w:val="18"/>
          <w:szCs w:val="18"/>
          <w:color w:val="008000"/>
          <w:strike w:val="1"/>
        </w:rPr>
        <w:t xml:space="preserve"> have the same volume or liquidity as did </w:t>
      </w:r>
      <w:r>
        <w:rPr>
          <w:rFonts w:ascii="Arial" w:cs="Arial" w:eastAsia="Arial" w:hAnsi="Arial"/>
          <w:sz w:val="18"/>
          <w:szCs w:val="18"/>
          <w:color w:val="FF0000"/>
          <w:strike w:val="1"/>
        </w:rPr>
        <w:t>the London interbank</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offered </w:t>
      </w:r>
      <w:r>
        <w:rPr>
          <w:rFonts w:ascii="Arial" w:cs="Arial" w:eastAsia="Arial" w:hAnsi="Arial"/>
          <w:sz w:val="18"/>
          <w:szCs w:val="18"/>
          <w:color w:val="008000"/>
          <w:strike w:val="1"/>
        </w:rPr>
        <w:t>rate prior to its discontinuance or unavailability.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-669290</wp:posOffset>
            </wp:positionV>
            <wp:extent cx="31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-669290</wp:posOffset>
            </wp:positionV>
            <wp:extent cx="1847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123" w:lineRule="exact"/>
        <w:rPr>
          <w:sz w:val="20"/>
          <w:szCs w:val="20"/>
          <w:color w:val="auto"/>
        </w:rPr>
      </w:pPr>
    </w:p>
    <w:p>
      <w:pPr>
        <w:jc w:val="center"/>
        <w:ind w:right="40"/>
        <w:spacing w:after="0"/>
        <w:tabs>
          <w:tab w:leader="none" w:pos="280" w:val="left"/>
        </w:tabs>
        <w:rPr>
          <w:sz w:val="20"/>
          <w:szCs w:val="20"/>
          <w:color w:val="auto"/>
        </w:rPr>
      </w:pPr>
      <w:r>
        <w:rPr>
          <w:rFonts w:ascii="Arial" w:cs="Arial" w:eastAsia="Arial" w:hAnsi="Arial"/>
          <w:sz w:val="20"/>
          <w:szCs w:val="20"/>
          <w:color w:val="auto"/>
        </w:rPr>
        <w:t>Section 1.07</w:t>
      </w:r>
      <w:r>
        <w:rPr>
          <w:sz w:val="20"/>
          <w:szCs w:val="20"/>
          <w:color w:val="auto"/>
        </w:rPr>
        <w:tab/>
      </w:r>
      <w:r>
        <w:rPr>
          <w:rFonts w:ascii="Arial" w:cs="Arial" w:eastAsia="Arial" w:hAnsi="Arial"/>
          <w:sz w:val="16"/>
          <w:szCs w:val="16"/>
          <w:u w:val="single" w:color="auto"/>
          <w:color w:val="auto"/>
        </w:rPr>
        <w:t>Dutch Terms</w:t>
      </w:r>
      <w:r>
        <w:rPr>
          <w:rFonts w:ascii="Arial" w:cs="Arial" w:eastAsia="Arial" w:hAnsi="Arial"/>
          <w:sz w:val="16"/>
          <w:szCs w:val="16"/>
          <w:color w:val="auto"/>
        </w:rPr>
        <w:t>. In this Agreement, where it relates to an entity incorporated in the Netherlands, a reference to:</w:t>
      </w:r>
    </w:p>
    <w:p>
      <w:pPr>
        <w:spacing w:after="0" w:line="160" w:lineRule="exact"/>
        <w:rPr>
          <w:sz w:val="20"/>
          <w:szCs w:val="20"/>
          <w:color w:val="auto"/>
        </w:rPr>
      </w:pPr>
    </w:p>
    <w:p>
      <w:pPr>
        <w:ind w:left="2600" w:hanging="648"/>
        <w:spacing w:after="0"/>
        <w:tabs>
          <w:tab w:leader="none" w:pos="2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“director” means a managing director (</w:t>
      </w:r>
      <w:r>
        <w:rPr>
          <w:rFonts w:ascii="Arial" w:cs="Arial" w:eastAsia="Arial" w:hAnsi="Arial"/>
          <w:sz w:val="18"/>
          <w:szCs w:val="18"/>
          <w:i w:val="1"/>
          <w:iCs w:val="1"/>
          <w:color w:val="auto"/>
        </w:rPr>
        <w:t>bestuurder</w:t>
      </w:r>
      <w:r>
        <w:rPr>
          <w:rFonts w:ascii="Arial" w:cs="Arial" w:eastAsia="Arial" w:hAnsi="Arial"/>
          <w:sz w:val="18"/>
          <w:szCs w:val="18"/>
          <w:color w:val="auto"/>
        </w:rPr>
        <w:t>) and “board of directors” means its managing board</w:t>
      </w: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bestuur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-30-</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96" w:name="page97"/>
    <w:bookmarkEnd w:id="96"/>
    <w:p>
      <w:pPr>
        <w:ind w:left="660" w:right="440" w:firstLine="1292"/>
        <w:spacing w:after="0" w:line="229" w:lineRule="auto"/>
        <w:tabs>
          <w:tab w:leader="none" w:pos="2603"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 “action to authorize” or “duly authorized”, where applicable, includes without limitation any action required to comply with the Dutch Works Council Act (</w:t>
      </w:r>
      <w:r>
        <w:rPr>
          <w:rFonts w:ascii="Arial" w:cs="Arial" w:eastAsia="Arial" w:hAnsi="Arial"/>
          <w:sz w:val="20"/>
          <w:szCs w:val="20"/>
          <w:i w:val="1"/>
          <w:iCs w:val="1"/>
          <w:color w:val="auto"/>
        </w:rPr>
        <w:t>Wet op de ondernemingsraden</w:t>
      </w:r>
      <w:r>
        <w:rPr>
          <w:rFonts w:ascii="Arial" w:cs="Arial" w:eastAsia="Arial" w:hAnsi="Arial"/>
          <w:sz w:val="20"/>
          <w:szCs w:val="20"/>
          <w:color w:val="auto"/>
        </w:rPr>
        <w:t>);</w:t>
      </w:r>
    </w:p>
    <w:p>
      <w:pPr>
        <w:spacing w:after="0" w:line="141" w:lineRule="exact"/>
        <w:rPr>
          <w:rFonts w:ascii="Arial" w:cs="Arial" w:eastAsia="Arial" w:hAnsi="Arial"/>
          <w:sz w:val="20"/>
          <w:szCs w:val="20"/>
          <w:color w:val="auto"/>
        </w:rPr>
      </w:pPr>
    </w:p>
    <w:p>
      <w:pPr>
        <w:ind w:left="660" w:right="260" w:firstLine="1292"/>
        <w:spacing w:after="0" w:line="229" w:lineRule="auto"/>
        <w:tabs>
          <w:tab w:leader="none" w:pos="2604"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“proceeding under any bankruptcy or insolvency law”, “bankruptcy”, “insolvency”, or “dissolution” includes a Dutch entity being declared bankrupt (</w:t>
      </w:r>
      <w:r>
        <w:rPr>
          <w:rFonts w:ascii="Arial" w:cs="Arial" w:eastAsia="Arial" w:hAnsi="Arial"/>
          <w:sz w:val="20"/>
          <w:szCs w:val="20"/>
          <w:i w:val="1"/>
          <w:iCs w:val="1"/>
          <w:color w:val="auto"/>
        </w:rPr>
        <w:t>failliet verklaard</w:t>
      </w:r>
      <w:r>
        <w:rPr>
          <w:rFonts w:ascii="Arial" w:cs="Arial" w:eastAsia="Arial" w:hAnsi="Arial"/>
          <w:sz w:val="20"/>
          <w:szCs w:val="20"/>
          <w:color w:val="auto"/>
        </w:rPr>
        <w:t>) or dissolved (</w:t>
      </w:r>
      <w:r>
        <w:rPr>
          <w:rFonts w:ascii="Arial" w:cs="Arial" w:eastAsia="Arial" w:hAnsi="Arial"/>
          <w:sz w:val="20"/>
          <w:szCs w:val="20"/>
          <w:i w:val="1"/>
          <w:iCs w:val="1"/>
          <w:color w:val="auto"/>
        </w:rPr>
        <w:t>ontbonden</w:t>
      </w:r>
      <w:r>
        <w:rPr>
          <w:rFonts w:ascii="Arial" w:cs="Arial" w:eastAsia="Arial" w:hAnsi="Arial"/>
          <w:sz w:val="20"/>
          <w:szCs w:val="20"/>
          <w:color w:val="auto"/>
        </w:rPr>
        <w:t>);</w:t>
      </w:r>
    </w:p>
    <w:p>
      <w:pPr>
        <w:spacing w:after="0" w:line="128" w:lineRule="exact"/>
        <w:rPr>
          <w:rFonts w:ascii="Arial" w:cs="Arial" w:eastAsia="Arial" w:hAnsi="Arial"/>
          <w:sz w:val="20"/>
          <w:szCs w:val="20"/>
          <w:color w:val="auto"/>
        </w:rPr>
      </w:pPr>
    </w:p>
    <w:p>
      <w:pPr>
        <w:jc w:val="both"/>
        <w:ind w:left="660" w:right="500" w:firstLine="1292"/>
        <w:spacing w:after="0" w:line="289" w:lineRule="auto"/>
        <w:tabs>
          <w:tab w:leader="none" w:pos="2593"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“bankruptcy, insolvency, receivership or similar proceeding” or “liquidation proceeding” (or words of similar import) includes an application for moratorium (</w:t>
      </w:r>
      <w:r>
        <w:rPr>
          <w:rFonts w:ascii="Arial" w:cs="Arial" w:eastAsia="Arial" w:hAnsi="Arial"/>
          <w:sz w:val="16"/>
          <w:szCs w:val="16"/>
          <w:i w:val="1"/>
          <w:iCs w:val="1"/>
          <w:color w:val="auto"/>
        </w:rPr>
        <w:t>surseance van betaling</w:t>
      </w:r>
      <w:r>
        <w:rPr>
          <w:rFonts w:ascii="Arial" w:cs="Arial" w:eastAsia="Arial" w:hAnsi="Arial"/>
          <w:sz w:val="16"/>
          <w:szCs w:val="16"/>
          <w:color w:val="auto"/>
        </w:rPr>
        <w:t>) and the appointment of a receiver, liquidator, custodian, trustee includes the appointment of an administrator and that a moratorium has been granted (</w:t>
      </w:r>
      <w:r>
        <w:rPr>
          <w:rFonts w:ascii="Arial" w:cs="Arial" w:eastAsia="Arial" w:hAnsi="Arial"/>
          <w:sz w:val="16"/>
          <w:szCs w:val="16"/>
          <w:i w:val="1"/>
          <w:iCs w:val="1"/>
          <w:color w:val="auto"/>
        </w:rPr>
        <w:t>surseance verleend</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660" w:right="40" w:firstLine="1292"/>
        <w:spacing w:after="0" w:line="213" w:lineRule="auto"/>
        <w:tabs>
          <w:tab w:leader="none" w:pos="2592"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procedure or step taken in connection with an insolvency proceeding includes such Dutch entity having filed a notice under Section 36 of the Tax Collection Act of the Netherlands (</w:t>
      </w:r>
      <w:r>
        <w:rPr>
          <w:rFonts w:ascii="Arial" w:cs="Arial" w:eastAsia="Arial" w:hAnsi="Arial"/>
          <w:sz w:val="20"/>
          <w:szCs w:val="20"/>
          <w:i w:val="1"/>
          <w:iCs w:val="1"/>
          <w:color w:val="auto"/>
        </w:rPr>
        <w:t>Invorderingswet 1990</w:t>
      </w:r>
      <w:r>
        <w:rPr>
          <w:rFonts w:ascii="Arial" w:cs="Arial" w:eastAsia="Arial" w:hAnsi="Arial"/>
          <w:sz w:val="20"/>
          <w:szCs w:val="20"/>
          <w:color w:val="auto"/>
        </w:rPr>
        <w:t>) or Section 60 of the Social Insurance Financing Act of the Netherlands (</w:t>
      </w:r>
      <w:r>
        <w:rPr>
          <w:rFonts w:ascii="Arial" w:cs="Arial" w:eastAsia="Arial" w:hAnsi="Arial"/>
          <w:sz w:val="20"/>
          <w:szCs w:val="20"/>
          <w:i w:val="1"/>
          <w:iCs w:val="1"/>
          <w:color w:val="auto"/>
        </w:rPr>
        <w:t>Wet Financiering Sociale Verzekeringe</w:t>
      </w:r>
      <w:r>
        <w:rPr>
          <w:rFonts w:ascii="Arial" w:cs="Arial" w:eastAsia="Arial" w:hAnsi="Arial"/>
          <w:sz w:val="20"/>
          <w:szCs w:val="20"/>
          <w:color w:val="auto"/>
        </w:rPr>
        <w:t>n) in conjunction with Section 36 of the Tax Collection Act of the Netherlands (</w:t>
      </w:r>
      <w:r>
        <w:rPr>
          <w:rFonts w:ascii="Arial" w:cs="Arial" w:eastAsia="Arial" w:hAnsi="Arial"/>
          <w:sz w:val="20"/>
          <w:szCs w:val="20"/>
          <w:i w:val="1"/>
          <w:iCs w:val="1"/>
          <w:color w:val="auto"/>
        </w:rPr>
        <w:t>Invorderingswet 1990</w:t>
      </w:r>
      <w:r>
        <w:rPr>
          <w:rFonts w:ascii="Arial" w:cs="Arial" w:eastAsia="Arial" w:hAnsi="Arial"/>
          <w:sz w:val="20"/>
          <w:szCs w:val="20"/>
          <w:color w:val="auto"/>
        </w:rPr>
        <w:t>);</w:t>
      </w:r>
    </w:p>
    <w:p>
      <w:pPr>
        <w:spacing w:after="0" w:line="142" w:lineRule="exact"/>
        <w:rPr>
          <w:rFonts w:ascii="Arial" w:cs="Arial" w:eastAsia="Arial" w:hAnsi="Arial"/>
          <w:sz w:val="20"/>
          <w:szCs w:val="20"/>
          <w:color w:val="auto"/>
        </w:rPr>
      </w:pPr>
    </w:p>
    <w:p>
      <w:pPr>
        <w:ind w:left="2580" w:hanging="628"/>
        <w:spacing w:after="0"/>
        <w:tabs>
          <w:tab w:leader="none" w:pos="25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a “trustee” in any bankruptcy or insolvency proceeding includes a </w:t>
      </w:r>
      <w:r>
        <w:rPr>
          <w:rFonts w:ascii="Arial" w:cs="Arial" w:eastAsia="Arial" w:hAnsi="Arial"/>
          <w:sz w:val="20"/>
          <w:szCs w:val="20"/>
          <w:i w:val="1"/>
          <w:iCs w:val="1"/>
          <w:color w:val="auto"/>
        </w:rPr>
        <w:t>curator</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left="2580" w:hanging="628"/>
        <w:spacing w:after="0"/>
        <w:tabs>
          <w:tab w:leader="none" w:pos="25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an “administrator” includes a </w:t>
      </w:r>
      <w:r>
        <w:rPr>
          <w:rFonts w:ascii="Arial" w:cs="Arial" w:eastAsia="Arial" w:hAnsi="Arial"/>
          <w:sz w:val="20"/>
          <w:szCs w:val="20"/>
          <w:i w:val="1"/>
          <w:iCs w:val="1"/>
          <w:color w:val="auto"/>
        </w:rPr>
        <w:t>bewindvoerder</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2600" w:hanging="648"/>
        <w:spacing w:after="0"/>
        <w:tabs>
          <w:tab w:leader="none" w:pos="26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an “attachment” includes a </w:t>
      </w:r>
      <w:r>
        <w:rPr>
          <w:rFonts w:ascii="Arial" w:cs="Arial" w:eastAsia="Arial" w:hAnsi="Arial"/>
          <w:sz w:val="20"/>
          <w:szCs w:val="20"/>
          <w:i w:val="1"/>
          <w:iCs w:val="1"/>
          <w:color w:val="auto"/>
        </w:rPr>
        <w:t>beslag</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2580" w:hanging="628"/>
        <w:spacing w:after="0"/>
        <w:tabs>
          <w:tab w:leader="none" w:pos="25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“gross negligence” means </w:t>
      </w:r>
      <w:r>
        <w:rPr>
          <w:rFonts w:ascii="Arial" w:cs="Arial" w:eastAsia="Arial" w:hAnsi="Arial"/>
          <w:sz w:val="20"/>
          <w:szCs w:val="20"/>
          <w:i w:val="1"/>
          <w:iCs w:val="1"/>
          <w:color w:val="auto"/>
        </w:rPr>
        <w:t>grove schuld</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left="2580" w:hanging="628"/>
        <w:spacing w:after="0"/>
        <w:tabs>
          <w:tab w:leader="none" w:pos="25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“indemnify” means </w:t>
      </w:r>
      <w:r>
        <w:rPr>
          <w:rFonts w:ascii="Arial" w:cs="Arial" w:eastAsia="Arial" w:hAnsi="Arial"/>
          <w:sz w:val="20"/>
          <w:szCs w:val="20"/>
          <w:i w:val="1"/>
          <w:iCs w:val="1"/>
          <w:color w:val="auto"/>
        </w:rPr>
        <w:t>vrijwaren</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2580" w:hanging="628"/>
        <w:spacing w:after="0"/>
        <w:tabs>
          <w:tab w:leader="none" w:pos="25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“negligence” means </w:t>
      </w:r>
      <w:r>
        <w:rPr>
          <w:rFonts w:ascii="Arial" w:cs="Arial" w:eastAsia="Arial" w:hAnsi="Arial"/>
          <w:sz w:val="20"/>
          <w:szCs w:val="20"/>
          <w:i w:val="1"/>
          <w:iCs w:val="1"/>
          <w:color w:val="auto"/>
        </w:rPr>
        <w:t>schuld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2580" w:hanging="628"/>
        <w:spacing w:after="0"/>
        <w:tabs>
          <w:tab w:leader="none" w:pos="25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“bad faith” means </w:t>
      </w:r>
      <w:r>
        <w:rPr>
          <w:rFonts w:ascii="Arial" w:cs="Arial" w:eastAsia="Arial" w:hAnsi="Arial"/>
          <w:sz w:val="20"/>
          <w:szCs w:val="20"/>
          <w:i w:val="1"/>
          <w:iCs w:val="1"/>
          <w:color w:val="auto"/>
        </w:rPr>
        <w:t>kwade trouw</w:t>
      </w:r>
      <w:r>
        <w:rPr>
          <w:rFonts w:ascii="Arial" w:cs="Arial" w:eastAsia="Arial" w:hAnsi="Arial"/>
          <w:sz w:val="20"/>
          <w:szCs w:val="20"/>
          <w:color w:val="auto"/>
        </w:rPr>
        <w:t>; and</w:t>
      </w:r>
    </w:p>
    <w:p>
      <w:pPr>
        <w:spacing w:after="0" w:line="148" w:lineRule="exact"/>
        <w:rPr>
          <w:rFonts w:ascii="Arial" w:cs="Arial" w:eastAsia="Arial" w:hAnsi="Arial"/>
          <w:sz w:val="20"/>
          <w:szCs w:val="20"/>
          <w:color w:val="auto"/>
        </w:rPr>
      </w:pPr>
    </w:p>
    <w:p>
      <w:pPr>
        <w:ind w:left="2600" w:hanging="648"/>
        <w:spacing w:after="0"/>
        <w:tabs>
          <w:tab w:leader="none" w:pos="26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“willful misconduct” means </w:t>
      </w:r>
      <w:r>
        <w:rPr>
          <w:rFonts w:ascii="Arial" w:cs="Arial" w:eastAsia="Arial" w:hAnsi="Arial"/>
          <w:sz w:val="20"/>
          <w:szCs w:val="20"/>
          <w:i w:val="1"/>
          <w:iCs w:val="1"/>
          <w:color w:val="auto"/>
        </w:rPr>
        <w:t>opzet</w:t>
      </w:r>
      <w:r>
        <w:rPr>
          <w:rFonts w:ascii="Arial" w:cs="Arial" w:eastAsia="Arial" w:hAnsi="Arial"/>
          <w:sz w:val="20"/>
          <w:szCs w:val="20"/>
          <w:color w:val="auto"/>
        </w:rPr>
        <w:t>.</w:t>
      </w:r>
    </w:p>
    <w:p>
      <w:pPr>
        <w:spacing w:after="0" w:line="16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1.08</w:t>
      </w:r>
      <w:r>
        <w:rPr>
          <w:sz w:val="20"/>
          <w:szCs w:val="20"/>
          <w:color w:val="auto"/>
        </w:rPr>
        <w:tab/>
      </w:r>
      <w:r>
        <w:rPr>
          <w:rFonts w:ascii="Arial" w:cs="Arial" w:eastAsia="Arial" w:hAnsi="Arial"/>
          <w:sz w:val="16"/>
          <w:szCs w:val="16"/>
          <w:u w:val="single" w:color="auto"/>
          <w:color w:val="auto"/>
        </w:rPr>
        <w:t>Hungarian Terms</w:t>
      </w:r>
      <w:r>
        <w:rPr>
          <w:rFonts w:ascii="Arial" w:cs="Arial" w:eastAsia="Arial" w:hAnsi="Arial"/>
          <w:sz w:val="16"/>
          <w:szCs w:val="16"/>
          <w:color w:val="auto"/>
        </w:rPr>
        <w:t>. In this Agreement, where it relates to an entity incorporated in Hungary, a reference to:</w:t>
      </w:r>
    </w:p>
    <w:p>
      <w:pPr>
        <w:spacing w:after="0" w:line="162" w:lineRule="exact"/>
        <w:rPr>
          <w:sz w:val="20"/>
          <w:szCs w:val="20"/>
          <w:color w:val="auto"/>
        </w:rPr>
      </w:pPr>
    </w:p>
    <w:p>
      <w:pPr>
        <w:ind w:left="2600" w:hanging="648"/>
        <w:spacing w:after="0"/>
        <w:tabs>
          <w:tab w:leader="none" w:pos="26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 “director” means a managing director (</w:t>
      </w:r>
      <w:r>
        <w:rPr>
          <w:rFonts w:ascii="Arial" w:cs="Arial" w:eastAsia="Arial" w:hAnsi="Arial"/>
          <w:sz w:val="20"/>
          <w:szCs w:val="20"/>
          <w:i w:val="1"/>
          <w:iCs w:val="1"/>
          <w:color w:val="auto"/>
        </w:rPr>
        <w:t>ügyvezető</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jc w:val="both"/>
        <w:ind w:left="660" w:right="440" w:firstLine="1292"/>
        <w:spacing w:after="0" w:line="221" w:lineRule="auto"/>
        <w:tabs>
          <w:tab w:leader="none" w:pos="2603"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any “proceeding under any bankruptcy or insolvency law”, “bankruptcy”, “insolvency”, “dissolution”, “bankruptcy, insolvency, receivership or similar proceeding” or “liquidation proceeding” (or words of similar import) includes </w:t>
      </w:r>
      <w:r>
        <w:rPr>
          <w:rFonts w:ascii="Arial" w:cs="Arial" w:eastAsia="Arial" w:hAnsi="Arial"/>
          <w:sz w:val="19"/>
          <w:szCs w:val="19"/>
          <w:i w:val="1"/>
          <w:iCs w:val="1"/>
          <w:color w:val="auto"/>
        </w:rPr>
        <w:t xml:space="preserve">csődeljárás </w:t>
      </w:r>
      <w:r>
        <w:rPr>
          <w:rFonts w:ascii="Arial" w:cs="Arial" w:eastAsia="Arial" w:hAnsi="Arial"/>
          <w:sz w:val="19"/>
          <w:szCs w:val="19"/>
          <w:color w:val="auto"/>
        </w:rPr>
        <w:t>(bankruptcy),</w:t>
      </w:r>
      <w:r>
        <w:rPr>
          <w:rFonts w:ascii="Arial" w:cs="Arial" w:eastAsia="Arial" w:hAnsi="Arial"/>
          <w:sz w:val="19"/>
          <w:szCs w:val="19"/>
          <w:i w:val="1"/>
          <w:iCs w:val="1"/>
          <w:color w:val="auto"/>
        </w:rPr>
        <w:t xml:space="preserve"> fizetési haladék </w:t>
      </w:r>
      <w:r>
        <w:rPr>
          <w:rFonts w:ascii="Arial" w:cs="Arial" w:eastAsia="Arial" w:hAnsi="Arial"/>
          <w:sz w:val="19"/>
          <w:szCs w:val="19"/>
          <w:color w:val="auto"/>
        </w:rPr>
        <w:t>(payment suspension),</w:t>
      </w:r>
      <w:r>
        <w:rPr>
          <w:rFonts w:ascii="Arial" w:cs="Arial" w:eastAsia="Arial" w:hAnsi="Arial"/>
          <w:sz w:val="19"/>
          <w:szCs w:val="19"/>
          <w:i w:val="1"/>
          <w:iCs w:val="1"/>
          <w:color w:val="auto"/>
        </w:rPr>
        <w:t xml:space="preserve"> ideiglenes fizetési haladék </w:t>
      </w:r>
      <w:r>
        <w:rPr>
          <w:rFonts w:ascii="Arial" w:cs="Arial" w:eastAsia="Arial" w:hAnsi="Arial"/>
          <w:sz w:val="19"/>
          <w:szCs w:val="19"/>
          <w:color w:val="auto"/>
        </w:rPr>
        <w:t>(temporary payment suspension),</w:t>
      </w:r>
      <w:r>
        <w:rPr>
          <w:rFonts w:ascii="Arial" w:cs="Arial" w:eastAsia="Arial" w:hAnsi="Arial"/>
          <w:sz w:val="19"/>
          <w:szCs w:val="19"/>
          <w:i w:val="1"/>
          <w:iCs w:val="1"/>
          <w:color w:val="auto"/>
        </w:rPr>
        <w:t xml:space="preserve"> felszámolási eljárás </w:t>
      </w:r>
      <w:r>
        <w:rPr>
          <w:rFonts w:ascii="Arial" w:cs="Arial" w:eastAsia="Arial" w:hAnsi="Arial"/>
          <w:sz w:val="19"/>
          <w:szCs w:val="19"/>
          <w:color w:val="auto"/>
        </w:rPr>
        <w:t>(liquidation), végelszámolás (voluntary solvent winding-up),</w:t>
      </w:r>
      <w:r>
        <w:rPr>
          <w:rFonts w:ascii="Arial" w:cs="Arial" w:eastAsia="Arial" w:hAnsi="Arial"/>
          <w:sz w:val="19"/>
          <w:szCs w:val="19"/>
          <w:i w:val="1"/>
          <w:iCs w:val="1"/>
          <w:color w:val="auto"/>
        </w:rPr>
        <w:t xml:space="preserve"> kényszertörlési eljárás </w:t>
      </w:r>
      <w:r>
        <w:rPr>
          <w:rFonts w:ascii="Arial" w:cs="Arial" w:eastAsia="Arial" w:hAnsi="Arial"/>
          <w:sz w:val="19"/>
          <w:szCs w:val="19"/>
          <w:color w:val="auto"/>
        </w:rPr>
        <w:t>(involuntary deletion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proceeding) and </w:t>
      </w:r>
      <w:r>
        <w:rPr>
          <w:rFonts w:ascii="Arial" w:cs="Arial" w:eastAsia="Arial" w:hAnsi="Arial"/>
          <w:sz w:val="19"/>
          <w:szCs w:val="19"/>
          <w:i w:val="1"/>
          <w:iCs w:val="1"/>
          <w:color w:val="auto"/>
        </w:rPr>
        <w:t>megszűntnek nyilvánítás</w:t>
      </w:r>
      <w:r>
        <w:rPr>
          <w:rFonts w:ascii="Arial" w:cs="Arial" w:eastAsia="Arial" w:hAnsi="Arial"/>
          <w:sz w:val="19"/>
          <w:szCs w:val="19"/>
          <w:color w:val="auto"/>
        </w:rPr>
        <w:t xml:space="preserve"> (declaration of termination);</w:t>
      </w:r>
    </w:p>
    <w:p>
      <w:pPr>
        <w:spacing w:after="0" w:line="141" w:lineRule="exact"/>
        <w:rPr>
          <w:rFonts w:ascii="Arial" w:cs="Arial" w:eastAsia="Arial" w:hAnsi="Arial"/>
          <w:sz w:val="19"/>
          <w:szCs w:val="19"/>
          <w:color w:val="auto"/>
        </w:rPr>
      </w:pPr>
    </w:p>
    <w:p>
      <w:pPr>
        <w:ind w:left="660" w:right="100" w:firstLine="1292"/>
        <w:spacing w:after="0" w:line="218" w:lineRule="auto"/>
        <w:tabs>
          <w:tab w:leader="none" w:pos="2604"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a “liquidator”, a “trustee”, an “administrator” and a “receiver” in any bankruptcy or insolvency proceeding includes a or other similar officer includes without limitation </w:t>
      </w:r>
      <w:r>
        <w:rPr>
          <w:rFonts w:ascii="Arial" w:cs="Arial" w:eastAsia="Arial" w:hAnsi="Arial"/>
          <w:sz w:val="20"/>
          <w:szCs w:val="20"/>
          <w:i w:val="1"/>
          <w:iCs w:val="1"/>
          <w:color w:val="auto"/>
        </w:rPr>
        <w:t>ideiglenes vagyonfelügyelő, vagyonfelügyelő, felügyelőbiztos,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csődgondnok, felszámoló, állami felszámoló </w:t>
      </w:r>
      <w:r>
        <w:rPr>
          <w:rFonts w:ascii="Arial" w:cs="Arial" w:eastAsia="Arial" w:hAnsi="Arial"/>
          <w:sz w:val="20"/>
          <w:szCs w:val="20"/>
          <w:color w:val="auto"/>
        </w:rPr>
        <w:t>or</w:t>
      </w:r>
      <w:r>
        <w:rPr>
          <w:rFonts w:ascii="Arial" w:cs="Arial" w:eastAsia="Arial" w:hAnsi="Arial"/>
          <w:sz w:val="20"/>
          <w:szCs w:val="20"/>
          <w:i w:val="1"/>
          <w:iCs w:val="1"/>
          <w:color w:val="auto"/>
        </w:rPr>
        <w:t xml:space="preserve"> végelszámoló</w:t>
      </w:r>
      <w:r>
        <w:rPr>
          <w:rFonts w:ascii="Arial" w:cs="Arial" w:eastAsia="Arial" w:hAnsi="Arial"/>
          <w:sz w:val="20"/>
          <w:szCs w:val="20"/>
          <w:color w:val="auto"/>
        </w:rPr>
        <w:t>;</w:t>
      </w:r>
    </w:p>
    <w:p>
      <w:pPr>
        <w:spacing w:after="0" w:line="142" w:lineRule="exact"/>
        <w:rPr>
          <w:rFonts w:ascii="Arial" w:cs="Arial" w:eastAsia="Arial" w:hAnsi="Arial"/>
          <w:sz w:val="20"/>
          <w:szCs w:val="20"/>
          <w:color w:val="auto"/>
        </w:rPr>
      </w:pPr>
    </w:p>
    <w:p>
      <w:pPr>
        <w:ind w:left="660" w:firstLine="1292"/>
        <w:spacing w:after="0" w:line="269" w:lineRule="auto"/>
        <w:tabs>
          <w:tab w:leader="none" w:pos="259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 includes quota (</w:t>
      </w:r>
      <w:r>
        <w:rPr>
          <w:rFonts w:ascii="Arial" w:cs="Arial" w:eastAsia="Arial" w:hAnsi="Arial"/>
          <w:sz w:val="18"/>
          <w:szCs w:val="18"/>
          <w:i w:val="1"/>
          <w:iCs w:val="1"/>
          <w:color w:val="auto"/>
        </w:rPr>
        <w:t>üzletrész</w:t>
      </w:r>
      <w:r>
        <w:rPr>
          <w:rFonts w:ascii="Arial" w:cs="Arial" w:eastAsia="Arial" w:hAnsi="Arial"/>
          <w:sz w:val="18"/>
          <w:szCs w:val="18"/>
          <w:color w:val="auto"/>
        </w:rPr>
        <w:t>) representing the ownership interest in a Hungarian entity with a corporate form of a limited liability company (</w:t>
      </w:r>
      <w:r>
        <w:rPr>
          <w:rFonts w:ascii="Arial" w:cs="Arial" w:eastAsia="Arial" w:hAnsi="Arial"/>
          <w:sz w:val="18"/>
          <w:szCs w:val="18"/>
          <w:i w:val="1"/>
          <w:iCs w:val="1"/>
          <w:color w:val="auto"/>
        </w:rPr>
        <w:t>korlátolt felelősségű társaság</w:t>
      </w:r>
      <w:r>
        <w:rPr>
          <w:rFonts w:ascii="Arial" w:cs="Arial" w:eastAsia="Arial" w:hAnsi="Arial"/>
          <w:sz w:val="18"/>
          <w:szCs w:val="18"/>
          <w:color w:val="auto"/>
        </w:rPr>
        <w:t>) and “shareholder” shall be interpreted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-31-</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140"/>
          </w:cols>
          <w:pgMar w:left="320" w:top="1405" w:right="439" w:bottom="1440" w:gutter="0" w:footer="0" w:header="0"/>
        </w:sectPr>
      </w:pPr>
    </w:p>
    <w:bookmarkStart w:id="97" w:name="page98"/>
    <w:bookmarkEnd w:id="97"/>
    <w:p>
      <w:pPr>
        <w:ind w:left="2580" w:hanging="628"/>
        <w:spacing w:after="0"/>
        <w:tabs>
          <w:tab w:leader="none" w:pos="2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 “moratorium” includes a moratórium, ideiglenes fizetési haladék or fizetési haladék;</w:t>
      </w:r>
    </w:p>
    <w:p>
      <w:pPr>
        <w:spacing w:after="0" w:line="161" w:lineRule="exact"/>
        <w:rPr>
          <w:rFonts w:ascii="Arial" w:cs="Arial" w:eastAsia="Arial" w:hAnsi="Arial"/>
          <w:sz w:val="20"/>
          <w:szCs w:val="20"/>
          <w:color w:val="auto"/>
        </w:rPr>
      </w:pPr>
    </w:p>
    <w:p>
      <w:pPr>
        <w:ind w:left="2580" w:hanging="628"/>
        <w:spacing w:after="0"/>
        <w:tabs>
          <w:tab w:leader="none" w:pos="2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“gross negligence” means </w:t>
      </w:r>
      <w:r>
        <w:rPr>
          <w:rFonts w:ascii="Arial" w:cs="Arial" w:eastAsia="Arial" w:hAnsi="Arial"/>
          <w:sz w:val="20"/>
          <w:szCs w:val="20"/>
          <w:i w:val="1"/>
          <w:iCs w:val="1"/>
          <w:color w:val="auto"/>
        </w:rPr>
        <w:t>súlyos gondatlanság</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left="2580" w:hanging="628"/>
        <w:spacing w:after="0"/>
        <w:tabs>
          <w:tab w:leader="none" w:pos="2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“indemnify” means </w:t>
      </w:r>
      <w:r>
        <w:rPr>
          <w:rFonts w:ascii="Arial" w:cs="Arial" w:eastAsia="Arial" w:hAnsi="Arial"/>
          <w:sz w:val="20"/>
          <w:szCs w:val="20"/>
          <w:i w:val="1"/>
          <w:iCs w:val="1"/>
          <w:color w:val="auto"/>
        </w:rPr>
        <w:t>kártalanít</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2600" w:hanging="648"/>
        <w:spacing w:after="0"/>
        <w:tabs>
          <w:tab w:leader="none" w:pos="26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“negligence” means </w:t>
      </w:r>
      <w:r>
        <w:rPr>
          <w:rFonts w:ascii="Arial" w:cs="Arial" w:eastAsia="Arial" w:hAnsi="Arial"/>
          <w:sz w:val="20"/>
          <w:szCs w:val="20"/>
          <w:i w:val="1"/>
          <w:iCs w:val="1"/>
          <w:color w:val="auto"/>
        </w:rPr>
        <w:t>gondatlanság</w:t>
      </w:r>
      <w:r>
        <w:rPr>
          <w:rFonts w:ascii="Arial" w:cs="Arial" w:eastAsia="Arial" w:hAnsi="Arial"/>
          <w:sz w:val="20"/>
          <w:szCs w:val="20"/>
          <w:color w:val="auto"/>
        </w:rPr>
        <w:t>; and</w:t>
      </w:r>
    </w:p>
    <w:p>
      <w:pPr>
        <w:spacing w:after="0" w:line="161" w:lineRule="exact"/>
        <w:rPr>
          <w:rFonts w:ascii="Arial" w:cs="Arial" w:eastAsia="Arial" w:hAnsi="Arial"/>
          <w:sz w:val="20"/>
          <w:szCs w:val="20"/>
          <w:color w:val="auto"/>
        </w:rPr>
      </w:pPr>
    </w:p>
    <w:p>
      <w:pPr>
        <w:ind w:left="2580" w:hanging="628"/>
        <w:spacing w:after="0"/>
        <w:tabs>
          <w:tab w:leader="none" w:pos="25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“bad faith” means </w:t>
      </w:r>
      <w:r>
        <w:rPr>
          <w:rFonts w:ascii="Arial" w:cs="Arial" w:eastAsia="Arial" w:hAnsi="Arial"/>
          <w:sz w:val="20"/>
          <w:szCs w:val="20"/>
          <w:i w:val="1"/>
          <w:iCs w:val="1"/>
          <w:color w:val="auto"/>
        </w:rPr>
        <w:t>rosszhiszem</w:t>
      </w:r>
      <w:r>
        <w:rPr>
          <w:rFonts w:ascii="Arial" w:cs="Arial" w:eastAsia="Arial" w:hAnsi="Arial"/>
          <w:sz w:val="20"/>
          <w:szCs w:val="20"/>
          <w:color w:val="auto"/>
        </w:rPr>
        <w:t>.</w:t>
      </w:r>
    </w:p>
    <w:p>
      <w:pPr>
        <w:spacing w:after="0" w:line="148" w:lineRule="exact"/>
        <w:rPr>
          <w:sz w:val="20"/>
          <w:szCs w:val="20"/>
          <w:color w:val="auto"/>
        </w:rPr>
      </w:pPr>
    </w:p>
    <w:p>
      <w:pPr>
        <w:ind w:right="40" w:firstLine="648"/>
        <w:spacing w:after="0" w:line="233"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the Delaware Limited Liability Company Act (or any comparable event under a different jurisdiction’s laws): (a) if any asset, right, obligation or liability of any Person that is a limited liability company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31" w:lineRule="exact"/>
        <w:rPr>
          <w:sz w:val="20"/>
          <w:szCs w:val="20"/>
          <w:color w:val="auto"/>
        </w:rPr>
      </w:pPr>
    </w:p>
    <w:p>
      <w:pPr>
        <w:ind w:left="660"/>
        <w:spacing w:after="0"/>
        <w:tabs>
          <w:tab w:leader="none" w:pos="2920" w:val="left"/>
        </w:tabs>
        <w:rPr>
          <w:sz w:val="20"/>
          <w:szCs w:val="20"/>
          <w:color w:val="auto"/>
        </w:rPr>
      </w:pPr>
      <w:r>
        <w:rPr>
          <w:rFonts w:ascii="Arial" w:cs="Arial" w:eastAsia="Arial" w:hAnsi="Arial"/>
          <w:sz w:val="20"/>
          <w:szCs w:val="20"/>
          <w:color w:val="E36C0A"/>
        </w:rPr>
        <w:t>Section 1.10</w:t>
      </w:r>
      <w:r>
        <w:rPr>
          <w:sz w:val="20"/>
          <w:szCs w:val="20"/>
          <w:color w:val="auto"/>
        </w:rPr>
        <w:tab/>
      </w:r>
      <w:r>
        <w:rPr>
          <w:rFonts w:ascii="Arial" w:cs="Arial" w:eastAsia="Arial" w:hAnsi="Arial"/>
          <w:sz w:val="18"/>
          <w:szCs w:val="18"/>
          <w:u w:val="single" w:color="auto"/>
          <w:color w:val="0000FF"/>
        </w:rPr>
        <w:t xml:space="preserve">Benchmark Notification. The </w:t>
      </w:r>
      <w:r>
        <w:rPr>
          <w:rFonts w:ascii="Arial" w:cs="Arial" w:eastAsia="Arial" w:hAnsi="Arial"/>
          <w:sz w:val="18"/>
          <w:szCs w:val="18"/>
          <w:u w:val="single" w:color="auto"/>
          <w:color w:val="E36C0A"/>
        </w:rPr>
        <w:t>Administrative Agent does not warrant or accept any responsibility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-59055</wp:posOffset>
            </wp:positionV>
            <wp:extent cx="6343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20"/>
          <w:szCs w:val="20"/>
          <w:u w:val="single" w:color="auto"/>
          <w:color w:val="E36C0A"/>
        </w:rPr>
        <w:t xml:space="preserve">and shall not have any liability with respect to, the administration, submission or any other matter related to </w:t>
      </w:r>
      <w:r>
        <w:rPr>
          <w:rFonts w:ascii="Arial" w:cs="Arial" w:eastAsia="Arial" w:hAnsi="Arial"/>
          <w:sz w:val="20"/>
          <w:szCs w:val="20"/>
          <w:u w:val="single" w:color="auto"/>
          <w:color w:val="0000FF"/>
        </w:rPr>
        <w:t>LIBOR or any other Relevant</w:t>
      </w:r>
      <w:r>
        <w:rPr>
          <w:rFonts w:ascii="Arial" w:cs="Arial" w:eastAsia="Arial" w:hAnsi="Arial"/>
          <w:sz w:val="20"/>
          <w:szCs w:val="20"/>
          <w:u w:val="single" w:color="auto"/>
          <w:color w:val="E36C0A"/>
        </w:rPr>
        <w:t xml:space="preserve"> </w:t>
      </w:r>
      <w:r>
        <w:rPr>
          <w:rFonts w:ascii="Arial" w:cs="Arial" w:eastAsia="Arial" w:hAnsi="Arial"/>
          <w:sz w:val="20"/>
          <w:szCs w:val="20"/>
          <w:u w:val="single" w:color="auto"/>
          <w:color w:val="0000FF"/>
        </w:rPr>
        <w:t xml:space="preserve">Rate </w:t>
      </w:r>
      <w:r>
        <w:rPr>
          <w:rFonts w:ascii="Arial" w:cs="Arial" w:eastAsia="Arial" w:hAnsi="Arial"/>
          <w:sz w:val="20"/>
          <w:szCs w:val="20"/>
          <w:u w:val="single" w:color="auto"/>
          <w:color w:val="E36C0A"/>
        </w:rPr>
        <w:t>or with respect to any alternative or successor</w:t>
      </w:r>
      <w:r>
        <w:rPr>
          <w:rFonts w:ascii="Arial" w:cs="Arial" w:eastAsia="Arial" w:hAnsi="Arial"/>
          <w:sz w:val="20"/>
          <w:szCs w:val="20"/>
          <w:u w:val="single" w:color="auto"/>
          <w:color w:val="0000FF"/>
        </w:rPr>
        <w:t xml:space="preserve"> benchmark </w:t>
      </w:r>
      <w:r>
        <w:rPr>
          <w:rFonts w:ascii="Arial" w:cs="Arial" w:eastAsia="Arial" w:hAnsi="Arial"/>
          <w:sz w:val="20"/>
          <w:szCs w:val="20"/>
          <w:u w:val="single" w:color="auto"/>
          <w:color w:val="E36C0A"/>
        </w:rPr>
        <w:t>thereto, or replacement rate therefor or thereof, including, without limitation,</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E36C0A"/>
        </w:rPr>
        <w:t xml:space="preserve">whether the composition or characteristics of any such alternative, successor or replacement reference rate, as it may or may not be adjusted pursuant to Section 2.23, will be similar to, or produce the same value or economic equivalence of, </w:t>
      </w:r>
      <w:r>
        <w:rPr>
          <w:rFonts w:ascii="Arial" w:cs="Arial" w:eastAsia="Arial" w:hAnsi="Arial"/>
          <w:sz w:val="20"/>
          <w:szCs w:val="20"/>
          <w:u w:val="single" w:color="auto"/>
          <w:color w:val="0000FF"/>
        </w:rPr>
        <w:t>LIBOR or any other Relevant Rate or any</w:t>
      </w:r>
      <w:r>
        <w:rPr>
          <w:rFonts w:ascii="Arial" w:cs="Arial" w:eastAsia="Arial" w:hAnsi="Arial"/>
          <w:sz w:val="20"/>
          <w:szCs w:val="20"/>
          <w:u w:val="single" w:color="auto"/>
          <w:color w:val="E36C0A"/>
        </w:rPr>
        <w:t xml:space="preserve"> </w:t>
      </w:r>
      <w:r>
        <w:rPr>
          <w:rFonts w:ascii="Arial" w:cs="Arial" w:eastAsia="Arial" w:hAnsi="Arial"/>
          <w:sz w:val="20"/>
          <w:szCs w:val="20"/>
          <w:u w:val="single" w:color="auto"/>
          <w:color w:val="0000FF"/>
        </w:rPr>
        <w:t xml:space="preserve">other benchmark or </w:t>
      </w:r>
      <w:r>
        <w:rPr>
          <w:rFonts w:ascii="Arial" w:cs="Arial" w:eastAsia="Arial" w:hAnsi="Arial"/>
          <w:sz w:val="20"/>
          <w:szCs w:val="20"/>
          <w:u w:val="single" w:color="auto"/>
          <w:color w:val="E36C0A"/>
        </w:rPr>
        <w:t>have the same volume or liquidity as did</w:t>
      </w:r>
      <w:r>
        <w:rPr>
          <w:rFonts w:ascii="Arial" w:cs="Arial" w:eastAsia="Arial" w:hAnsi="Arial"/>
          <w:sz w:val="20"/>
          <w:szCs w:val="20"/>
          <w:u w:val="single" w:color="auto"/>
          <w:color w:val="0000FF"/>
        </w:rPr>
        <w:t xml:space="preserve"> LIBOR or such other Relevant Rate or any other benchmark </w:t>
      </w:r>
      <w:r>
        <w:rPr>
          <w:rFonts w:ascii="Arial" w:cs="Arial" w:eastAsia="Arial" w:hAnsi="Arial"/>
          <w:sz w:val="20"/>
          <w:szCs w:val="20"/>
          <w:u w:val="single" w:color="auto"/>
          <w:color w:val="E36C0A"/>
        </w:rPr>
        <w:t>rate prior to its</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E36C0A"/>
        </w:rPr>
        <w:t>discontinuance or unavailability.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-32-</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00"/>
          </w:cols>
          <w:pgMar w:left="320" w:top="1405" w:right="379" w:bottom="1440" w:gutter="0" w:footer="0" w:header="0"/>
        </w:sectPr>
      </w:pPr>
    </w:p>
    <w:bookmarkStart w:id="98" w:name="page99"/>
    <w:bookmarkEnd w:id="98"/>
    <w:p>
      <w:pPr>
        <w:ind w:right="100"/>
        <w:spacing w:after="0" w:line="233" w:lineRule="auto"/>
        <w:rPr>
          <w:sz w:val="20"/>
          <w:szCs w:val="20"/>
          <w:color w:val="auto"/>
        </w:rPr>
      </w:pPr>
      <w:r>
        <w:rPr>
          <w:rFonts w:ascii="Arial" w:cs="Arial" w:eastAsia="Arial" w:hAnsi="Arial"/>
          <w:sz w:val="18"/>
          <w:szCs w:val="18"/>
          <w:color w:val="auto"/>
        </w:rPr>
        <w:t xml:space="preserve">Borrowing may be in an aggregate amount that is equal to the entire unused balance of the total Term Loan Commitments. Each Swingline Loan shall be in an amount that is an integral multiple of $100,000 and not less than $100,000. Borrowings of more than one Type and Class may be outstanding at the same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if there are two or more Borrowings on a single day by a Borrower that consist of Eurodollar Loans and/or Foreign Currency Loans, each such Borrowing shall have a different initial Interest Period, and (ii) at no time shall there be more than </w:t>
      </w:r>
      <w:r>
        <w:rPr>
          <w:rFonts w:ascii="Arial" w:cs="Arial" w:eastAsia="Arial" w:hAnsi="Arial"/>
          <w:sz w:val="18"/>
          <w:szCs w:val="18"/>
          <w:u w:val="single" w:color="auto"/>
          <w:color w:val="0000FF"/>
        </w:rPr>
        <w:t>thirty (</w:t>
      </w:r>
      <w:r>
        <w:rPr>
          <w:rFonts w:ascii="Arial" w:cs="Arial" w:eastAsia="Arial" w:hAnsi="Arial"/>
          <w:sz w:val="18"/>
          <w:szCs w:val="18"/>
          <w:color w:val="auto"/>
        </w:rPr>
        <w:t>30</w:t>
      </w:r>
      <w:r>
        <w:rPr>
          <w:rFonts w:ascii="Arial" w:cs="Arial" w:eastAsia="Arial" w:hAnsi="Arial"/>
          <w:sz w:val="18"/>
          <w:szCs w:val="18"/>
          <w:u w:val="single" w:color="auto"/>
          <w:color w:val="0000FF"/>
        </w:rPr>
        <w:t>)</w:t>
      </w:r>
      <w:r>
        <w:rPr>
          <w:rFonts w:ascii="Arial" w:cs="Arial" w:eastAsia="Arial" w:hAnsi="Arial"/>
          <w:sz w:val="18"/>
          <w:szCs w:val="18"/>
          <w:color w:val="auto"/>
        </w:rPr>
        <w:t xml:space="preserve"> Borrowings of Eurodollar Loans and Foreign Currency Loans, in the aggregate, outstanding.</w:t>
      </w:r>
    </w:p>
    <w:p>
      <w:pPr>
        <w:spacing w:after="0" w:line="143" w:lineRule="exact"/>
        <w:rPr>
          <w:sz w:val="20"/>
          <w:szCs w:val="20"/>
          <w:color w:val="auto"/>
        </w:rPr>
      </w:pPr>
    </w:p>
    <w:p>
      <w:pPr>
        <w:ind w:right="380" w:firstLine="1304"/>
        <w:spacing w:after="0" w:line="269" w:lineRule="auto"/>
        <w:tabs>
          <w:tab w:leader="none" w:pos="17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Borrowers shall not be entitled to request, or to elect to convert or continue, any Borrowing if the Interest Period requested with respect thereto would end after the applicable Maturity Date.</w:t>
      </w:r>
    </w:p>
    <w:p>
      <w:pPr>
        <w:spacing w:after="0" w:line="105" w:lineRule="exact"/>
        <w:rPr>
          <w:sz w:val="20"/>
          <w:szCs w:val="20"/>
          <w:color w:val="auto"/>
        </w:rPr>
      </w:pPr>
    </w:p>
    <w:p>
      <w:pPr>
        <w:ind w:left="4980"/>
        <w:spacing w:after="0"/>
        <w:rPr>
          <w:sz w:val="20"/>
          <w:szCs w:val="20"/>
          <w:color w:val="auto"/>
        </w:rPr>
      </w:pPr>
      <w:r>
        <w:rPr>
          <w:rFonts w:ascii="Arial" w:cs="Arial" w:eastAsia="Arial" w:hAnsi="Arial"/>
          <w:sz w:val="20"/>
          <w:szCs w:val="20"/>
          <w:color w:val="FF0000"/>
        </w:rPr>
        <w:t>Article II</w:t>
      </w:r>
    </w:p>
    <w:p>
      <w:pPr>
        <w:ind w:left="3700"/>
        <w:spacing w:after="0"/>
        <w:rPr>
          <w:sz w:val="20"/>
          <w:szCs w:val="20"/>
          <w:color w:val="auto"/>
        </w:rPr>
      </w:pPr>
      <w:r>
        <w:rPr>
          <w:rFonts w:ascii="Arial" w:cs="Arial" w:eastAsia="Arial" w:hAnsi="Arial"/>
          <w:sz w:val="20"/>
          <w:szCs w:val="20"/>
          <w:color w:val="FF0000"/>
        </w:rPr>
        <w:t>DO NOT DELETE. USED FOR NUMBERING</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FF0000"/>
        </w:rPr>
        <w:t>Section 1.01</w:t>
      </w:r>
      <w:r>
        <w:rPr>
          <w:sz w:val="20"/>
          <w:szCs w:val="20"/>
          <w:color w:val="auto"/>
        </w:rPr>
        <w:tab/>
      </w:r>
      <w:r>
        <w:rPr>
          <w:rFonts w:ascii="Arial" w:cs="Arial" w:eastAsia="Arial" w:hAnsi="Arial"/>
          <w:sz w:val="18"/>
          <w:szCs w:val="18"/>
          <w:color w:val="FF0000"/>
        </w:rPr>
        <w:t>Commitments</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FF0000"/>
        </w:rPr>
        <w:t>Section 1.02</w:t>
      </w:r>
      <w:r>
        <w:rPr>
          <w:sz w:val="20"/>
          <w:szCs w:val="20"/>
          <w:color w:val="auto"/>
        </w:rPr>
        <w:tab/>
      </w:r>
      <w:r>
        <w:rPr>
          <w:rFonts w:ascii="Arial" w:cs="Arial" w:eastAsia="Arial" w:hAnsi="Arial"/>
          <w:sz w:val="18"/>
          <w:szCs w:val="18"/>
          <w:color w:val="FF0000"/>
        </w:rPr>
        <w:t>Loans and Borrowings]</w:t>
      </w:r>
    </w:p>
    <w:p>
      <w:pPr>
        <w:spacing w:after="0" w:line="175"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xml:space="preserve">. To request a Borrowing, the applicable Borrower shall notify the Administrative Agent of such request by telephone (a) in the case of a Eurodollar Borrowing or a Foreign Currency Borrowing, not later than 1:00 p.m., New York City time, three Business Days (or (x) in the case of a Eurodollar Borrowing on the Closing Date, two Business Days or (y) in the case of a Foreign Currency Borrowing designated in Japanese Yen, four Business Days) before the date of the proposed Borrowing or (b) in the case of an ABR Borrowing, not later than 11:00 a.m., New York City time, on the date of the proposed Borrowing;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of an ABR Revolving Borrowing to finance the reimbursement of an LC Disbursement as contemplated by Section 2.06(e) may be given not later than 10:00 a.m., New York City time, on the date of the proposed Borrowing, and any notice of a Swingline Loan Borrowing shall be made in accordance with Section 2.05(b). Each such telephonic Borrowing Request shall be irrevocable and shall be confirmed promptly by hand delivery or telecopy to the Administrative Agent of a written Borrowing Request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such other form approved by the Administrative Agent (each, a “</w:t>
      </w:r>
      <w:r>
        <w:rPr>
          <w:rFonts w:ascii="Arial" w:cs="Arial" w:eastAsia="Arial" w:hAnsi="Arial"/>
          <w:sz w:val="18"/>
          <w:szCs w:val="18"/>
          <w:b w:val="1"/>
          <w:bCs w:val="1"/>
          <w:i w:val="1"/>
          <w:iCs w:val="1"/>
          <w:color w:val="auto"/>
        </w:rPr>
        <w:t>Borrowing Request</w:t>
      </w:r>
      <w:r>
        <w:rPr>
          <w:rFonts w:ascii="Arial" w:cs="Arial" w:eastAsia="Arial" w:hAnsi="Arial"/>
          <w:sz w:val="18"/>
          <w:szCs w:val="18"/>
          <w:color w:val="auto"/>
        </w:rPr>
        <w:t>”) and signed by the applicable Borrower. Each such telephonic and written Borrowing Request shall specify the following information in compliance with Section 2.02:</w:t>
      </w:r>
    </w:p>
    <w:p>
      <w:pPr>
        <w:spacing w:after="0" w:line="133" w:lineRule="exact"/>
        <w:rPr>
          <w:sz w:val="20"/>
          <w:szCs w:val="20"/>
          <w:color w:val="auto"/>
        </w:rPr>
      </w:pPr>
    </w:p>
    <w:p>
      <w:pPr>
        <w:ind w:left="660" w:right="20" w:firstLine="1292"/>
        <w:spacing w:after="0" w:line="229" w:lineRule="auto"/>
        <w:tabs>
          <w:tab w:leader="none" w:pos="2602"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aggregate amount of the requested Borrowing, and whether such Borrowing is a Revolving Borrowing or a Term Loan Borrowing;</w:t>
      </w:r>
    </w:p>
    <w:p>
      <w:pPr>
        <w:spacing w:after="0" w:line="141" w:lineRule="exact"/>
        <w:rPr>
          <w:rFonts w:ascii="Arial" w:cs="Arial" w:eastAsia="Arial" w:hAnsi="Arial"/>
          <w:sz w:val="20"/>
          <w:szCs w:val="20"/>
          <w:color w:val="auto"/>
        </w:rPr>
      </w:pPr>
    </w:p>
    <w:p>
      <w:pPr>
        <w:ind w:left="2600" w:hanging="648"/>
        <w:spacing w:after="0"/>
        <w:tabs>
          <w:tab w:leader="none" w:pos="26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161" w:lineRule="exact"/>
        <w:rPr>
          <w:rFonts w:ascii="Arial" w:cs="Arial" w:eastAsia="Arial" w:hAnsi="Arial"/>
          <w:sz w:val="20"/>
          <w:szCs w:val="20"/>
          <w:color w:val="auto"/>
        </w:rPr>
      </w:pPr>
    </w:p>
    <w:p>
      <w:pPr>
        <w:ind w:left="660" w:right="680" w:firstLine="1292"/>
        <w:spacing w:after="0" w:line="229" w:lineRule="auto"/>
        <w:tabs>
          <w:tab w:leader="none" w:pos="2604" w:val="left"/>
        </w:tabs>
        <w:numPr>
          <w:ilvl w:val="0"/>
          <w:numId w:val="57"/>
        </w:numPr>
        <w:rPr>
          <w:rFonts w:ascii="Arial" w:cs="Arial" w:eastAsia="Arial" w:hAnsi="Arial"/>
          <w:sz w:val="20"/>
          <w:szCs w:val="20"/>
          <w:color w:val="auto"/>
        </w:rPr>
      </w:pPr>
      <w:r>
        <w:rPr>
          <w:rFonts w:ascii="Arial" w:cs="Arial" w:eastAsia="Arial" w:hAnsi="Arial"/>
          <w:sz w:val="20"/>
          <w:szCs w:val="20"/>
          <w:color w:val="auto"/>
        </w:rPr>
        <w:t>whether such Borrowing is to be an ABR Borrowing, a Eurodollar Borrowing or a Foreign Currency Borrowing, and, if applicable, the Designated Foreign Currency applicable thereto;</w:t>
      </w:r>
    </w:p>
    <w:p>
      <w:pPr>
        <w:spacing w:after="0" w:line="128" w:lineRule="exact"/>
        <w:rPr>
          <w:rFonts w:ascii="Arial" w:cs="Arial" w:eastAsia="Arial" w:hAnsi="Arial"/>
          <w:sz w:val="20"/>
          <w:szCs w:val="20"/>
          <w:color w:val="auto"/>
        </w:rPr>
      </w:pPr>
    </w:p>
    <w:p>
      <w:pPr>
        <w:ind w:left="660" w:right="460" w:firstLine="1292"/>
        <w:spacing w:after="0" w:line="242" w:lineRule="auto"/>
        <w:tabs>
          <w:tab w:leader="none" w:pos="2593"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case of a Eurodollar Borrowing or a Foreign Currency Borrowing, the initial Interest Period to be applicable thereto, which shall be a period contemplated by the definition of the term “Interest Period”; and</w:t>
      </w:r>
    </w:p>
    <w:p>
      <w:pPr>
        <w:spacing w:after="0" w:line="139" w:lineRule="exact"/>
        <w:rPr>
          <w:rFonts w:ascii="Arial" w:cs="Arial" w:eastAsia="Arial" w:hAnsi="Arial"/>
          <w:sz w:val="19"/>
          <w:szCs w:val="19"/>
          <w:color w:val="auto"/>
        </w:rPr>
      </w:pPr>
    </w:p>
    <w:p>
      <w:pPr>
        <w:ind w:left="660" w:right="400" w:firstLine="1292"/>
        <w:spacing w:after="0" w:line="229" w:lineRule="auto"/>
        <w:tabs>
          <w:tab w:leader="none" w:pos="2592"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location and number of the applicable Borrower’s account to which funds are to be disbursed, which shall comply with the requirements of Section 2.07.</w:t>
      </w:r>
    </w:p>
    <w:p>
      <w:pPr>
        <w:spacing w:after="0" w:line="142" w:lineRule="exact"/>
        <w:rPr>
          <w:sz w:val="20"/>
          <w:szCs w:val="20"/>
          <w:color w:val="auto"/>
        </w:rPr>
      </w:pPr>
    </w:p>
    <w:p>
      <w:pPr>
        <w:ind w:right="220" w:firstLine="648"/>
        <w:spacing w:after="0" w:line="210" w:lineRule="auto"/>
        <w:rPr>
          <w:sz w:val="20"/>
          <w:szCs w:val="20"/>
          <w:color w:val="auto"/>
        </w:rPr>
      </w:pPr>
      <w:r>
        <w:rPr>
          <w:rFonts w:ascii="Arial" w:cs="Arial" w:eastAsia="Arial" w:hAnsi="Arial"/>
          <w:sz w:val="20"/>
          <w:szCs w:val="20"/>
          <w:color w:val="auto"/>
        </w:rPr>
        <w:t>If no election as to the Type of Borrowing is specified, then the requested Borrowing shall be an ABR Borrowing. If no Interest Period is specified with respect to any requested Eurodollar Borrowing or Foreign Currency Borrowing, then the applicable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-34-</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99" w:name="page100"/>
    <w:bookmarkEnd w:id="99"/>
    <w:p>
      <w:pPr>
        <w:ind w:left="660"/>
        <w:spacing w:after="0"/>
        <w:tabs>
          <w:tab w:leader="none" w:pos="192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8"/>
          <w:szCs w:val="18"/>
          <w:u w:val="single" w:color="auto"/>
          <w:color w:val="auto"/>
        </w:rPr>
        <w:t>Incremental Facilities</w:t>
      </w:r>
      <w:r>
        <w:rPr>
          <w:rFonts w:ascii="Arial" w:cs="Arial" w:eastAsia="Arial" w:hAnsi="Arial"/>
          <w:sz w:val="18"/>
          <w:szCs w:val="18"/>
          <w:color w:val="auto"/>
        </w:rPr>
        <w:t>. On one or more occasions at any time after the Closing Date, the Borrowers may by written</w:t>
      </w:r>
    </w:p>
    <w:p>
      <w:pPr>
        <w:spacing w:after="0" w:line="207" w:lineRule="auto"/>
        <w:rPr>
          <w:sz w:val="20"/>
          <w:szCs w:val="20"/>
          <w:color w:val="auto"/>
        </w:rPr>
      </w:pPr>
      <w:r>
        <w:rPr>
          <w:rFonts w:ascii="Arial" w:cs="Arial" w:eastAsia="Arial" w:hAnsi="Arial"/>
          <w:sz w:val="19"/>
          <w:szCs w:val="19"/>
          <w:color w:val="auto"/>
        </w:rPr>
        <w:t>notice to the Administrative Agent elect to request (A) an increase to the existing Revolving Commitments (any such increase, the</w:t>
      </w:r>
    </w:p>
    <w:p>
      <w:pPr>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Incremental Revolving Commitments</w:t>
      </w:r>
      <w:r>
        <w:rPr>
          <w:rFonts w:ascii="Arial" w:cs="Arial" w:eastAsia="Arial" w:hAnsi="Arial"/>
          <w:sz w:val="18"/>
          <w:szCs w:val="18"/>
          <w:color w:val="auto"/>
        </w:rPr>
        <w:t>”) and/or (B) the establishment of one or more new term loan commitments (the “</w:t>
      </w:r>
      <w:r>
        <w:rPr>
          <w:rFonts w:ascii="Arial" w:cs="Arial" w:eastAsia="Arial" w:hAnsi="Arial"/>
          <w:sz w:val="18"/>
          <w:szCs w:val="18"/>
          <w:b w:val="1"/>
          <w:bCs w:val="1"/>
          <w:i w:val="1"/>
          <w:iCs w:val="1"/>
          <w:color w:val="auto"/>
        </w:rPr>
        <w:t>Incremental Term</w:t>
      </w:r>
    </w:p>
    <w:p>
      <w:pPr>
        <w:spacing w:after="0" w:line="219" w:lineRule="auto"/>
        <w:rPr>
          <w:sz w:val="20"/>
          <w:szCs w:val="20"/>
          <w:color w:val="auto"/>
        </w:rPr>
      </w:pPr>
      <w:r>
        <w:rPr>
          <w:rFonts w:ascii="Arial" w:cs="Arial" w:eastAsia="Arial" w:hAnsi="Arial"/>
          <w:sz w:val="18"/>
          <w:szCs w:val="18"/>
          <w:b w:val="1"/>
          <w:bCs w:val="1"/>
          <w:i w:val="1"/>
          <w:iCs w:val="1"/>
          <w:color w:val="auto"/>
        </w:rPr>
        <w:t>Loan Commitments</w:t>
      </w:r>
      <w:r>
        <w:rPr>
          <w:rFonts w:ascii="Arial" w:cs="Arial" w:eastAsia="Arial" w:hAnsi="Arial"/>
          <w:sz w:val="18"/>
          <w:szCs w:val="18"/>
          <w:color w:val="auto"/>
        </w:rPr>
        <w:t>”, together with the Incremental Revolving Commitments, the “</w:t>
      </w:r>
      <w:r>
        <w:rPr>
          <w:rFonts w:ascii="Arial" w:cs="Arial" w:eastAsia="Arial" w:hAnsi="Arial"/>
          <w:sz w:val="18"/>
          <w:szCs w:val="18"/>
          <w:b w:val="1"/>
          <w:bCs w:val="1"/>
          <w:i w:val="1"/>
          <w:iCs w:val="1"/>
          <w:color w:val="auto"/>
        </w:rPr>
        <w:t>Incremental Commitments</w:t>
      </w:r>
      <w:r>
        <w:rPr>
          <w:rFonts w:ascii="Arial" w:cs="Arial" w:eastAsia="Arial" w:hAnsi="Arial"/>
          <w:sz w:val="18"/>
          <w:szCs w:val="18"/>
          <w:color w:val="auto"/>
        </w:rPr>
        <w:t>”), in an aggregate amount</w:t>
      </w:r>
    </w:p>
    <w:p>
      <w:pPr>
        <w:spacing w:after="0" w:line="208" w:lineRule="auto"/>
        <w:rPr>
          <w:sz w:val="20"/>
          <w:szCs w:val="20"/>
          <w:color w:val="auto"/>
        </w:rPr>
      </w:pPr>
      <w:r>
        <w:rPr>
          <w:rFonts w:ascii="Arial" w:cs="Arial" w:eastAsia="Arial" w:hAnsi="Arial"/>
          <w:sz w:val="19"/>
          <w:szCs w:val="19"/>
          <w:color w:val="auto"/>
        </w:rPr>
        <w:t>not to exceed $1,605,000,000. Each such notice shall specify the date (each, an “</w:t>
      </w:r>
      <w:r>
        <w:rPr>
          <w:rFonts w:ascii="Arial" w:cs="Arial" w:eastAsia="Arial" w:hAnsi="Arial"/>
          <w:sz w:val="19"/>
          <w:szCs w:val="19"/>
          <w:b w:val="1"/>
          <w:bCs w:val="1"/>
          <w:i w:val="1"/>
          <w:iCs w:val="1"/>
          <w:color w:val="auto"/>
        </w:rPr>
        <w:t>Increased Amount Date</w:t>
      </w:r>
      <w:r>
        <w:rPr>
          <w:rFonts w:ascii="Arial" w:cs="Arial" w:eastAsia="Arial" w:hAnsi="Arial"/>
          <w:sz w:val="19"/>
          <w:szCs w:val="19"/>
          <w:color w:val="auto"/>
        </w:rPr>
        <w:t>”) on which the Revolving</w:t>
      </w:r>
    </w:p>
    <w:p>
      <w:pPr>
        <w:spacing w:after="0" w:line="219" w:lineRule="auto"/>
        <w:rPr>
          <w:sz w:val="20"/>
          <w:szCs w:val="20"/>
          <w:color w:val="auto"/>
        </w:rPr>
      </w:pPr>
      <w:r>
        <w:rPr>
          <w:rFonts w:ascii="Arial" w:cs="Arial" w:eastAsia="Arial" w:hAnsi="Arial"/>
          <w:sz w:val="18"/>
          <w:szCs w:val="18"/>
          <w:color w:val="auto"/>
        </w:rPr>
        <w:t>Borrowers or the Term Loan Borrower, as applicable, propose that such Incremental Commitments shall be effective, which shall be a date</w:t>
      </w:r>
    </w:p>
    <w:p>
      <w:pPr>
        <w:spacing w:after="0" w:line="219" w:lineRule="auto"/>
        <w:rPr>
          <w:sz w:val="20"/>
          <w:szCs w:val="20"/>
          <w:color w:val="auto"/>
        </w:rPr>
      </w:pPr>
      <w:r>
        <w:rPr>
          <w:rFonts w:ascii="Arial" w:cs="Arial" w:eastAsia="Arial" w:hAnsi="Arial"/>
          <w:sz w:val="18"/>
          <w:szCs w:val="18"/>
          <w:color w:val="auto"/>
        </w:rPr>
        <w:t>not less than five (5) Business Days after the date on which such notice is delivered to the Administrative Agent. The Administrative Agent</w:t>
      </w:r>
    </w:p>
    <w:p>
      <w:pPr>
        <w:spacing w:after="0" w:line="219" w:lineRule="auto"/>
        <w:rPr>
          <w:sz w:val="20"/>
          <w:szCs w:val="20"/>
          <w:color w:val="auto"/>
        </w:rPr>
      </w:pPr>
      <w:r>
        <w:rPr>
          <w:rFonts w:ascii="Arial" w:cs="Arial" w:eastAsia="Arial" w:hAnsi="Arial"/>
          <w:sz w:val="18"/>
          <w:szCs w:val="18"/>
          <w:color w:val="auto"/>
        </w:rPr>
        <w:t>and/or its Affiliates shall use commercially reasonable efforts, with the assistance of the Revolving Borrowers or the Term Loan Borrower, as</w:t>
      </w:r>
    </w:p>
    <w:p>
      <w:pPr>
        <w:spacing w:after="0" w:line="220" w:lineRule="auto"/>
        <w:rPr>
          <w:sz w:val="20"/>
          <w:szCs w:val="20"/>
          <w:color w:val="auto"/>
        </w:rPr>
      </w:pPr>
      <w:r>
        <w:rPr>
          <w:rFonts w:ascii="Arial" w:cs="Arial" w:eastAsia="Arial" w:hAnsi="Arial"/>
          <w:sz w:val="18"/>
          <w:szCs w:val="18"/>
          <w:color w:val="auto"/>
        </w:rPr>
        <w:t xml:space="preserve">applicable, to arrange a syndicate of Lenders willing to hold the requested Incremental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any Incremental</w:t>
      </w:r>
    </w:p>
    <w:p>
      <w:pPr>
        <w:spacing w:after="0" w:line="219" w:lineRule="auto"/>
        <w:rPr>
          <w:sz w:val="20"/>
          <w:szCs w:val="20"/>
          <w:color w:val="auto"/>
        </w:rPr>
      </w:pPr>
      <w:r>
        <w:rPr>
          <w:rFonts w:ascii="Arial" w:cs="Arial" w:eastAsia="Arial" w:hAnsi="Arial"/>
          <w:sz w:val="18"/>
          <w:szCs w:val="18"/>
          <w:color w:val="auto"/>
        </w:rPr>
        <w:t>Commitments on any Increased Amount Date shall be in the minimum aggregate amount of $10,000,000, (y) any Lender approached to</w:t>
      </w:r>
    </w:p>
    <w:p>
      <w:pPr>
        <w:spacing w:after="0" w:line="219" w:lineRule="auto"/>
        <w:rPr>
          <w:sz w:val="20"/>
          <w:szCs w:val="20"/>
          <w:color w:val="auto"/>
        </w:rPr>
      </w:pPr>
      <w:r>
        <w:rPr>
          <w:rFonts w:ascii="Arial" w:cs="Arial" w:eastAsia="Arial" w:hAnsi="Arial"/>
          <w:sz w:val="18"/>
          <w:szCs w:val="18"/>
          <w:color w:val="auto"/>
        </w:rPr>
        <w:t>provide all or a portion of the Incremental Commitments may elect or decline, in its sole discretion, to provide an Incremental Commitment,</w:t>
      </w:r>
    </w:p>
    <w:p>
      <w:pPr>
        <w:spacing w:after="0" w:line="219" w:lineRule="auto"/>
        <w:rPr>
          <w:sz w:val="20"/>
          <w:szCs w:val="20"/>
          <w:color w:val="auto"/>
        </w:rPr>
      </w:pPr>
      <w:r>
        <w:rPr>
          <w:rFonts w:ascii="Arial" w:cs="Arial" w:eastAsia="Arial" w:hAnsi="Arial"/>
          <w:sz w:val="18"/>
          <w:szCs w:val="18"/>
          <w:color w:val="auto"/>
        </w:rPr>
        <w:t>and (z) any Lender or other Person that is an Eligible Assignee (each, an “</w:t>
      </w:r>
      <w:r>
        <w:rPr>
          <w:rFonts w:ascii="Arial" w:cs="Arial" w:eastAsia="Arial" w:hAnsi="Arial"/>
          <w:sz w:val="18"/>
          <w:szCs w:val="18"/>
          <w:b w:val="1"/>
          <w:bCs w:val="1"/>
          <w:i w:val="1"/>
          <w:iCs w:val="1"/>
          <w:color w:val="auto"/>
        </w:rPr>
        <w:t>Incremental Revolving Loan Lender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Incremental Term</w:t>
      </w:r>
    </w:p>
    <w:p>
      <w:pPr>
        <w:spacing w:after="0" w:line="219" w:lineRule="auto"/>
        <w:rPr>
          <w:sz w:val="20"/>
          <w:szCs w:val="20"/>
          <w:color w:val="auto"/>
        </w:rPr>
      </w:pPr>
      <w:r>
        <w:rPr>
          <w:rFonts w:ascii="Arial" w:cs="Arial" w:eastAsia="Arial" w:hAnsi="Arial"/>
          <w:sz w:val="18"/>
          <w:szCs w:val="18"/>
          <w:b w:val="1"/>
          <w:bCs w:val="1"/>
          <w:i w:val="1"/>
          <w:iCs w:val="1"/>
          <w:color w:val="auto"/>
        </w:rPr>
        <w:t>Loan Lender</w:t>
      </w:r>
      <w:r>
        <w:rPr>
          <w:rFonts w:ascii="Arial" w:cs="Arial" w:eastAsia="Arial" w:hAnsi="Arial"/>
          <w:sz w:val="18"/>
          <w:szCs w:val="18"/>
          <w:color w:val="auto"/>
        </w:rPr>
        <w:t>,” as applicable) to whom any portion of such Incremental Commitment shall be allocated shall be subject to the approval of the</w:t>
      </w:r>
    </w:p>
    <w:p>
      <w:pPr>
        <w:spacing w:after="0" w:line="197" w:lineRule="auto"/>
        <w:rPr>
          <w:sz w:val="20"/>
          <w:szCs w:val="20"/>
          <w:color w:val="auto"/>
        </w:rPr>
      </w:pPr>
      <w:r>
        <w:rPr>
          <w:rFonts w:ascii="Arial" w:cs="Arial" w:eastAsia="Arial" w:hAnsi="Arial"/>
          <w:sz w:val="20"/>
          <w:szCs w:val="20"/>
          <w:color w:val="auto"/>
        </w:rPr>
        <w:t>Revolving Borrowers or the Term Loan Borrower, as applicable, and the Administrative Agent, and, if an Incremental Revolving</w:t>
      </w:r>
    </w:p>
    <w:p>
      <w:pPr>
        <w:spacing w:after="0" w:line="208" w:lineRule="auto"/>
        <w:rPr>
          <w:sz w:val="20"/>
          <w:szCs w:val="20"/>
          <w:color w:val="auto"/>
        </w:rPr>
      </w:pPr>
      <w:r>
        <w:rPr>
          <w:rFonts w:ascii="Arial" w:cs="Arial" w:eastAsia="Arial" w:hAnsi="Arial"/>
          <w:sz w:val="19"/>
          <w:szCs w:val="19"/>
          <w:color w:val="auto"/>
        </w:rPr>
        <w:t>Commitment, the Issuing Bank and the Swingline Lender (each of which approvals shall not be unreasonably withheld), unless such</w:t>
      </w:r>
    </w:p>
    <w:p>
      <w:pPr>
        <w:spacing w:after="0"/>
        <w:rPr>
          <w:sz w:val="20"/>
          <w:szCs w:val="20"/>
          <w:color w:val="auto"/>
        </w:rPr>
      </w:pPr>
      <w:r>
        <w:rPr>
          <w:rFonts w:ascii="Arial" w:cs="Arial" w:eastAsia="Arial" w:hAnsi="Arial"/>
          <w:sz w:val="20"/>
          <w:szCs w:val="20"/>
          <w:color w:val="auto"/>
        </w:rPr>
        <w:t>Incremental Revolving Loan Lender or Incremental Term Loan Lender is an existing Lender.</w:t>
      </w:r>
    </w:p>
    <w:p>
      <w:pPr>
        <w:spacing w:after="0" w:line="146" w:lineRule="exact"/>
        <w:rPr>
          <w:sz w:val="20"/>
          <w:szCs w:val="20"/>
          <w:color w:val="auto"/>
        </w:rPr>
      </w:pPr>
    </w:p>
    <w:p>
      <w:pPr>
        <w:ind w:firstLine="648"/>
        <w:spacing w:after="0" w:line="217" w:lineRule="auto"/>
        <w:rPr>
          <w:sz w:val="20"/>
          <w:szCs w:val="20"/>
          <w:color w:val="auto"/>
        </w:rPr>
      </w:pPr>
      <w:r>
        <w:rPr>
          <w:rFonts w:ascii="Arial" w:cs="Arial" w:eastAsia="Arial" w:hAnsi="Arial"/>
          <w:sz w:val="19"/>
          <w:szCs w:val="19"/>
          <w:color w:val="auto"/>
        </w:rPr>
        <w:t xml:space="preserve">The terms and provisions of any Incremental Revolving Commitments shall be identical to the existing Revolving Commitments. The terms and provisions of any Incremental Term Loan Commitments and any Incremental Term Loans shall provide that (a) the maturity date of any Incremental Term Loan that is a separate tranche shall be no earlier than the Term Loan Maturity Date and shall not have any scheduled amortization payments prior to such date, (b) the Incremental Term Loans shall share ratably in any prepayments of the existing Term Loan Facility, unless the Term Loan Borrower and the Incremental Term Loan Lenders in respect of such Incremental Term Loans elect lesser payments and (c) </w:t>
      </w:r>
      <w:r>
        <w:rPr>
          <w:rFonts w:ascii="Arial" w:cs="Arial" w:eastAsia="Arial" w:hAnsi="Arial"/>
          <w:sz w:val="19"/>
          <w:szCs w:val="19"/>
          <w:u w:val="single" w:color="auto"/>
          <w:color w:val="0000FF"/>
        </w:rPr>
        <w:t>except as otherwise provided below with respect to upfront fees,</w:t>
      </w:r>
      <w:r>
        <w:rPr>
          <w:rFonts w:ascii="Arial" w:cs="Arial" w:eastAsia="Arial" w:hAnsi="Arial"/>
          <w:sz w:val="19"/>
          <w:szCs w:val="19"/>
          <w:color w:val="auto"/>
        </w:rPr>
        <w:t xml:space="preserve"> the Incremental Term Loans shall otherwise be identical to the existing Term Loans.</w:t>
      </w:r>
    </w:p>
    <w:p>
      <w:pPr>
        <w:spacing w:after="0" w:line="129" w:lineRule="exact"/>
        <w:rPr>
          <w:sz w:val="20"/>
          <w:szCs w:val="20"/>
          <w:color w:val="auto"/>
        </w:rPr>
      </w:pPr>
    </w:p>
    <w:p>
      <w:pPr>
        <w:ind w:right="60" w:firstLine="648"/>
        <w:spacing w:after="0" w:line="223" w:lineRule="auto"/>
        <w:rPr>
          <w:sz w:val="20"/>
          <w:szCs w:val="20"/>
          <w:color w:val="auto"/>
        </w:rPr>
      </w:pPr>
      <w:r>
        <w:rPr>
          <w:rFonts w:ascii="Arial" w:cs="Arial" w:eastAsia="Arial" w:hAnsi="Arial"/>
          <w:sz w:val="18"/>
          <w:szCs w:val="18"/>
          <w:color w:val="auto"/>
        </w:rPr>
        <w:t>The effectiveness of any Incremental Commitments and the availability of any borrowings under any such Incremental Commitment shall be subject to the satisfaction of the following conditions precedent: (x) after giving pro forma effect to such Incremental Commitments and borrowings and the use of proceeds thereof, (i) no Default or Event of Default shall exist and (ii) as of the last day of the most recent month for which financial statements have been delivered pursuant to Section 5.01, the Company would have been in compliance with the Financial Covenants that are applicable at such time; (y) the representations and warranties made or deemed made by the Borrowers in any Loan Document shall be true and correct in all material respects on the effective date of such Incremental Commitments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specifically and expressly permitted under the Loan Documents; and (z) the Administrative Agent shall have received each of the following, in form and substance reasonably satisfactory to the Administrative Agent: (i) if not previously delivered to the Administrative Agent, copies certified by the Secretary or Assistant Secretary of (A) all corporate or other necessary action taken by the Borrowers to authorize such Incremental Commitments and (B) all corporate, partnership, member, or other necessary action taken by each Subsidiary Guarantor authorizing the Subsidiary Guaranty by such Subsidiary Guarantor of such Incremental Commitments; and (ii) a customary opinion of counsel to the Borrowers and the Subsidiary Guarantors (which may be in substantially the same form as delivered on the Closing Date and may be delivered by internal counsel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-35-</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380" w:right="359" w:bottom="1440" w:gutter="0" w:footer="0" w:header="0"/>
        </w:sectPr>
      </w:pPr>
    </w:p>
    <w:bookmarkStart w:id="100" w:name="page101"/>
    <w:bookmarkEnd w:id="100"/>
    <w:p>
      <w:pPr>
        <w:spacing w:after="0" w:line="200" w:lineRule="exact"/>
        <w:rPr>
          <w:sz w:val="20"/>
          <w:szCs w:val="20"/>
          <w:color w:val="auto"/>
        </w:rPr>
      </w:pP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Foreign Currency Loan other than on the last day of the Interest Period applicable thereto, (c) the failure to borrow, convert, continue or prepay any Eurodollar Loan or Foreign Currency Loan on the date specified in any notice delivered pursuant hereto (regardless of whether such notice may be revoked under Section 2.11(b) and is revoked in accordance therewith), or (d) the assignment of any Eurodollar Loan or Foreign Currency Loan other than on the last day of the Interest Period applicable thereto as a result of a request by a Borrower pursuant to Section 2.19, then, in any such event, such Borrower shall compensate each Lender for the loss, cost and expense attributable to such event (excluding loss of anticipated profits), including, without limitation, costs associated with foreign currency hedging obligations incurred by such Lender in connection with any Foreign Currency Loan. In the case of a Eurodollar Loan or a Foreign Currency Loan, such loss, cost or expense to any Lender shall be deemed to include an amount determined by such Lender to be the excess, if any, of (i) the amount of interest which would have accrued on the principal amount of such Loan had such event not occurred, at the Adjusted LIBO Rate or the Adjusted Foreign Currency Rate, as applicable,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days after receipt thereof.</w:t>
      </w:r>
    </w:p>
    <w:p>
      <w:pPr>
        <w:sectPr>
          <w:pgSz w:w="11900" w:h="16838" w:orient="portrait"/>
          <w:cols w:equalWidth="0" w:num="1">
            <w:col w:w="11220"/>
          </w:cols>
          <w:pgMar w:left="320" w:top="1440" w:right="359" w:bottom="1440" w:gutter="0" w:footer="0" w:header="0"/>
        </w:sect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6"/>
          <w:szCs w:val="16"/>
          <w:color w:val="FF0000"/>
        </w:rPr>
        <w:t>Section 1.05</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FF0000"/>
        </w:rPr>
        <w:t>Swingline Loans</w:t>
      </w:r>
    </w:p>
    <w:p>
      <w:pPr>
        <w:spacing w:after="0" w:line="198"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ind w:left="660"/>
        <w:spacing w:after="0"/>
        <w:rPr>
          <w:sz w:val="20"/>
          <w:szCs w:val="20"/>
          <w:color w:val="auto"/>
        </w:rPr>
      </w:pPr>
      <w:r>
        <w:rPr>
          <w:rFonts w:ascii="Arial" w:cs="Arial" w:eastAsia="Arial" w:hAnsi="Arial"/>
          <w:sz w:val="16"/>
          <w:szCs w:val="16"/>
          <w:color w:val="FF0000"/>
        </w:rPr>
        <w:t>Section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0000"/>
        </w:rPr>
        <w:t>Letters of Credit</w:t>
      </w:r>
    </w:p>
    <w:p>
      <w:pPr>
        <w:spacing w:after="0" w:line="198"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ind w:left="660"/>
        <w:spacing w:after="0"/>
        <w:rPr>
          <w:sz w:val="20"/>
          <w:szCs w:val="20"/>
          <w:color w:val="auto"/>
        </w:rPr>
      </w:pPr>
      <w:r>
        <w:rPr>
          <w:rFonts w:ascii="Arial" w:cs="Arial" w:eastAsia="Arial" w:hAnsi="Arial"/>
          <w:sz w:val="16"/>
          <w:szCs w:val="16"/>
          <w:color w:val="FF0000"/>
        </w:rPr>
        <w:t>Section 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0000"/>
        </w:rPr>
        <w:t>Funding of Borrowings</w:t>
      </w:r>
    </w:p>
    <w:p>
      <w:pPr>
        <w:spacing w:after="0" w:line="198"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ind w:left="660"/>
        <w:spacing w:after="0"/>
        <w:rPr>
          <w:sz w:val="20"/>
          <w:szCs w:val="20"/>
          <w:color w:val="auto"/>
        </w:rPr>
      </w:pPr>
      <w:r>
        <w:rPr>
          <w:rFonts w:ascii="Arial" w:cs="Arial" w:eastAsia="Arial" w:hAnsi="Arial"/>
          <w:sz w:val="16"/>
          <w:szCs w:val="16"/>
          <w:color w:val="FF0000"/>
        </w:rPr>
        <w:t>Section 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0000"/>
        </w:rPr>
        <w:t>Interest Elections</w:t>
      </w:r>
    </w:p>
    <w:p>
      <w:pPr>
        <w:spacing w:after="0" w:line="200"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FF0000"/>
        </w:rPr>
        <w:t>Section 1.09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FF0000"/>
        </w:rPr>
        <w:t>Termination and Reduction of Commitments</w:t>
      </w:r>
    </w:p>
    <w:p>
      <w:pPr>
        <w:spacing w:after="0" w:line="198"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ind w:left="660"/>
        <w:spacing w:after="0"/>
        <w:rPr>
          <w:sz w:val="20"/>
          <w:szCs w:val="20"/>
          <w:color w:val="auto"/>
        </w:rPr>
      </w:pPr>
      <w:r>
        <w:rPr>
          <w:rFonts w:ascii="Arial" w:cs="Arial" w:eastAsia="Arial" w:hAnsi="Arial"/>
          <w:sz w:val="16"/>
          <w:szCs w:val="16"/>
          <w:color w:val="FF0000"/>
        </w:rPr>
        <w:t>Section 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0000"/>
        </w:rPr>
        <w:t>Repayment of Loans; Evidence of Debt</w:t>
      </w:r>
    </w:p>
    <w:p>
      <w:pPr>
        <w:spacing w:after="0" w:line="198"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ind w:left="660"/>
        <w:spacing w:after="0"/>
        <w:rPr>
          <w:sz w:val="20"/>
          <w:szCs w:val="20"/>
          <w:color w:val="auto"/>
        </w:rPr>
      </w:pPr>
      <w:r>
        <w:rPr>
          <w:rFonts w:ascii="Arial" w:cs="Arial" w:eastAsia="Arial" w:hAnsi="Arial"/>
          <w:sz w:val="16"/>
          <w:szCs w:val="16"/>
          <w:color w:val="FF0000"/>
        </w:rPr>
        <w:t>Section 1.11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0000"/>
        </w:rPr>
        <w:t>Prepayment of Loans</w:t>
      </w:r>
    </w:p>
    <w:p>
      <w:pPr>
        <w:spacing w:after="0" w:line="200"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FF0000"/>
        </w:rPr>
        <w:t>Section 1.12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rPr>
        <w:t>Fees</w:t>
      </w:r>
    </w:p>
    <w:p>
      <w:pPr>
        <w:spacing w:after="0" w:line="200"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FF0000"/>
        </w:rPr>
        <w:t>Section 1.13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rPr>
        <w:t>Interest</w:t>
      </w:r>
    </w:p>
    <w:p>
      <w:pPr>
        <w:spacing w:after="0" w:line="200"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FF0000"/>
        </w:rPr>
        <w:t>Section 1.14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rPr>
        <w:t>Alternate Rate of Interest</w:t>
      </w:r>
    </w:p>
    <w:p>
      <w:pPr>
        <w:spacing w:after="0" w:line="200"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FF0000"/>
        </w:rPr>
        <w:t>Section 1.15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rPr>
        <w:t>Increased Costs</w:t>
      </w:r>
    </w:p>
    <w:p>
      <w:pPr>
        <w:spacing w:after="0" w:line="200"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FF0000"/>
        </w:rPr>
        <w:t>Section 1.16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rPr>
        <w:t>Break Funding Payments</w:t>
      </w:r>
    </w:p>
    <w:p>
      <w:pPr>
        <w:spacing w:after="0" w:line="200" w:lineRule="exact"/>
        <w:rPr>
          <w:sz w:val="20"/>
          <w:szCs w:val="20"/>
          <w:color w:val="auto"/>
        </w:rPr>
      </w:pPr>
    </w:p>
    <w:p>
      <w:pPr>
        <w:sectPr>
          <w:pgSz w:w="11900" w:h="16838" w:orient="portrait"/>
          <w:cols w:equalWidth="0" w:num="2">
            <w:col w:w="1640" w:space="300"/>
            <w:col w:w="9280"/>
          </w:cols>
          <w:pgMar w:left="320" w:top="1440" w:right="359" w:bottom="1440" w:gutter="0" w:footer="0" w:header="0"/>
          <w:type w:val="continuous"/>
        </w:sectPr>
      </w:pPr>
    </w:p>
    <w:p>
      <w:pPr>
        <w:spacing w:after="0" w:line="21" w:lineRule="exact"/>
        <w:rPr>
          <w:sz w:val="20"/>
          <w:szCs w:val="20"/>
          <w:color w:val="auto"/>
        </w:rPr>
      </w:pPr>
    </w:p>
    <w:p>
      <w:pPr>
        <w:ind w:right="20" w:firstLine="648"/>
        <w:spacing w:after="0" w:line="217" w:lineRule="auto"/>
        <w:rPr>
          <w:sz w:val="20"/>
          <w:szCs w:val="20"/>
          <w:color w:val="auto"/>
        </w:rPr>
      </w:pPr>
      <w:r>
        <w:rPr>
          <w:rFonts w:ascii="Arial" w:cs="Arial" w:eastAsia="Arial" w:hAnsi="Arial"/>
          <w:sz w:val="19"/>
          <w:szCs w:val="19"/>
          <w:color w:val="auto"/>
        </w:rPr>
        <w:t xml:space="preserve">Section 1.17 </w:t>
      </w: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any Loan Party under any Loan Document shall be made </w:t>
      </w:r>
      <w:r>
        <w:rPr>
          <w:rFonts w:ascii="Arial" w:cs="Arial" w:eastAsia="Arial" w:hAnsi="Arial"/>
          <w:sz w:val="19"/>
          <w:szCs w:val="19"/>
          <w:u w:val="single" w:color="auto"/>
          <w:color w:val="0000FF"/>
        </w:rPr>
        <w:t>free and clear of and</w:t>
      </w:r>
      <w:r>
        <w:rPr>
          <w:rFonts w:ascii="Arial" w:cs="Arial" w:eastAsia="Arial" w:hAnsi="Arial"/>
          <w:sz w:val="19"/>
          <w:szCs w:val="19"/>
          <w:color w:val="auto"/>
        </w:rPr>
        <w:t xml:space="preserv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-36-</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40" w:right="359" w:bottom="1440" w:gutter="0" w:footer="0" w:header="0"/>
          <w:type w:val="continuous"/>
        </w:sectPr>
      </w:pPr>
    </w:p>
    <w:bookmarkStart w:id="101" w:name="page102"/>
    <w:bookmarkEnd w:id="101"/>
    <w:p>
      <w:pPr>
        <w:ind w:right="120"/>
        <w:spacing w:after="0" w:line="229" w:lineRule="auto"/>
        <w:rPr>
          <w:sz w:val="20"/>
          <w:szCs w:val="20"/>
          <w:color w:val="auto"/>
        </w:rPr>
      </w:pPr>
      <w:r>
        <w:rPr>
          <w:rFonts w:ascii="Arial" w:cs="Arial" w:eastAsia="Arial" w:hAnsi="Arial"/>
          <w:sz w:val="20"/>
          <w:szCs w:val="20"/>
          <w:color w:val="auto"/>
        </w:rPr>
        <w:t>withholdings applicable to additional sums payable under this Section 2.17) the applicable Recipient receives an amount equal to the sum it would have received had no such deduction or withholding been made.</w:t>
      </w:r>
    </w:p>
    <w:p>
      <w:pPr>
        <w:spacing w:after="0" w:line="142" w:lineRule="exact"/>
        <w:rPr>
          <w:sz w:val="20"/>
          <w:szCs w:val="20"/>
          <w:color w:val="auto"/>
        </w:rPr>
      </w:pPr>
    </w:p>
    <w:p>
      <w:pPr>
        <w:ind w:right="620" w:firstLine="1304"/>
        <w:spacing w:after="0" w:line="333" w:lineRule="auto"/>
        <w:tabs>
          <w:tab w:leader="none" w:pos="193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Payment of Other Taxes by the Loan Parties</w:t>
      </w:r>
      <w:r>
        <w:rPr>
          <w:rFonts w:ascii="Arial" w:cs="Arial" w:eastAsia="Arial" w:hAnsi="Arial"/>
          <w:sz w:val="16"/>
          <w:szCs w:val="16"/>
          <w:color w:val="auto"/>
        </w:rPr>
        <w:t>. The Loan Parties shall timely pay to the relevant Governmental Authority in accordance with applicable law, or at the option of the Administrative Agent timely reimburse it for, Other Taxes.</w:t>
      </w:r>
    </w:p>
    <w:p>
      <w:pPr>
        <w:spacing w:after="0" w:line="56" w:lineRule="exact"/>
        <w:rPr>
          <w:rFonts w:ascii="Arial" w:cs="Arial" w:eastAsia="Arial" w:hAnsi="Arial"/>
          <w:sz w:val="16"/>
          <w:szCs w:val="16"/>
          <w:color w:val="auto"/>
        </w:rPr>
      </w:pPr>
    </w:p>
    <w:p>
      <w:pPr>
        <w:ind w:right="40" w:firstLine="1304"/>
        <w:spacing w:after="0" w:line="213" w:lineRule="auto"/>
        <w:tabs>
          <w:tab w:leader="none" w:pos="193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2" w:lineRule="exact"/>
        <w:rPr>
          <w:rFonts w:ascii="Arial" w:cs="Arial" w:eastAsia="Arial" w:hAnsi="Arial"/>
          <w:sz w:val="20"/>
          <w:szCs w:val="20"/>
          <w:color w:val="auto"/>
        </w:rPr>
      </w:pPr>
    </w:p>
    <w:p>
      <w:pPr>
        <w:ind w:firstLine="1304"/>
        <w:spacing w:after="0" w:line="225" w:lineRule="auto"/>
        <w:tabs>
          <w:tab w:leader="none" w:pos="193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applicable Borrower shall indemnify each Recipient, within 10 days after written demand therefor, for the full amount of any Indemnified Taxes (including Indemnified Taxes imposed or asserted on or attributable to amounts payable under this Section 2.17)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Borrower shall not be required to compensate any Recipient pursuant to this Section 2.17(d) for any interest, additions to tax or penalties that accrue as a result of such Recipient’s failure to request an indemnity within 270 days after the earlier of the date such Recipient first acquired knowledge that the relevant Indemnified Taxes are payable or received written notification from such Borrower that such Indemnified Taxes are potentially payable. Any Recipient claiming indemnity pursuant to this Section 2.17(d) shall notify the Borrowers of the imposition of the relevant Indemnified Taxes as soon as reasonably practicable after the Recipient becomes aware of such imposition. A certificate as to the amount of such payment or liability delivered to the applicable Borrower by a Lender (with a copy to the Administrative Agent), or by the Administrative Agent on its own behalf or on behalf of a Lender, shall be conclusive absent manifest error.</w:t>
      </w:r>
    </w:p>
    <w:p>
      <w:pPr>
        <w:spacing w:after="0" w:line="141" w:lineRule="exact"/>
        <w:rPr>
          <w:rFonts w:ascii="Arial" w:cs="Arial" w:eastAsia="Arial" w:hAnsi="Arial"/>
          <w:sz w:val="18"/>
          <w:szCs w:val="18"/>
          <w:color w:val="auto"/>
        </w:rPr>
      </w:pPr>
    </w:p>
    <w:p>
      <w:pPr>
        <w:ind w:right="20" w:firstLine="1304"/>
        <w:spacing w:after="0" w:line="213" w:lineRule="auto"/>
        <w:tabs>
          <w:tab w:leader="none" w:pos="1934"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10.04(c)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35" w:lineRule="exact"/>
        <w:rPr>
          <w:rFonts w:ascii="Arial" w:cs="Arial" w:eastAsia="Arial" w:hAnsi="Arial"/>
          <w:sz w:val="19"/>
          <w:szCs w:val="19"/>
          <w:color w:val="auto"/>
        </w:rPr>
      </w:pPr>
    </w:p>
    <w:p>
      <w:pPr>
        <w:ind w:firstLine="1304"/>
        <w:spacing w:after="0" w:line="214" w:lineRule="auto"/>
        <w:tabs>
          <w:tab w:leader="none" w:pos="193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Status of Lenders</w:t>
      </w:r>
      <w:r>
        <w:rPr>
          <w:rFonts w:ascii="Arial" w:cs="Arial" w:eastAsia="Arial" w:hAnsi="Arial"/>
          <w:sz w:val="19"/>
          <w:szCs w:val="19"/>
          <w:color w:val="auto"/>
        </w:rPr>
        <w:t xml:space="preserve">. Any Recipient that is entitled to an exemption from or reduction of withholding Tax with respect to payments made under any Loan Document shall deliver to the Borrowers and the Administrative Agent, at the time or times reasonably requested by the Borrowers or the Administrative Agent, such </w:t>
      </w:r>
      <w:r>
        <w:rPr>
          <w:rFonts w:ascii="Arial" w:cs="Arial" w:eastAsia="Arial" w:hAnsi="Arial"/>
          <w:sz w:val="19"/>
          <w:szCs w:val="19"/>
          <w:u w:val="single" w:color="auto"/>
          <w:color w:val="0000FF"/>
        </w:rPr>
        <w:t>information or</w:t>
      </w:r>
      <w:r>
        <w:rPr>
          <w:rFonts w:ascii="Arial" w:cs="Arial" w:eastAsia="Arial" w:hAnsi="Arial"/>
          <w:sz w:val="19"/>
          <w:szCs w:val="19"/>
          <w:color w:val="auto"/>
        </w:rPr>
        <w:t xml:space="preserve"> properly completed and executed documentation reasonably requested by the Borrowers or the Administrative Agent as will permit such payments to be made without withholding or at a reduced rate of withholding. In addition, any Recipient, if reasonably requested by the Borrowers or the Administrative Agent, shall deliver such other </w:t>
      </w:r>
      <w:r>
        <w:rPr>
          <w:rFonts w:ascii="Arial" w:cs="Arial" w:eastAsia="Arial" w:hAnsi="Arial"/>
          <w:sz w:val="19"/>
          <w:szCs w:val="19"/>
          <w:u w:val="single" w:color="auto"/>
          <w:color w:val="0000FF"/>
        </w:rPr>
        <w:t>information and</w:t>
      </w:r>
      <w:r>
        <w:rPr>
          <w:rFonts w:ascii="Arial" w:cs="Arial" w:eastAsia="Arial" w:hAnsi="Arial"/>
          <w:sz w:val="19"/>
          <w:szCs w:val="19"/>
          <w:color w:val="0000FF"/>
        </w:rPr>
        <w:t xml:space="preserve"> </w:t>
      </w:r>
      <w:r>
        <w:rPr>
          <w:rFonts w:ascii="Arial" w:cs="Arial" w:eastAsia="Arial" w:hAnsi="Arial"/>
          <w:sz w:val="19"/>
          <w:szCs w:val="19"/>
          <w:color w:val="000000"/>
        </w:rPr>
        <w:t>documentation prescribed by applicable law or reasonably requested by the Borrowers or the Administrative Agent as will</w:t>
      </w:r>
      <w:r>
        <w:rPr>
          <w:rFonts w:ascii="Arial" w:cs="Arial" w:eastAsia="Arial" w:hAnsi="Arial"/>
          <w:sz w:val="19"/>
          <w:szCs w:val="19"/>
          <w:color w:val="0000FF"/>
        </w:rPr>
        <w:t xml:space="preserve"> </w:t>
      </w:r>
      <w:r>
        <w:rPr>
          <w:rFonts w:ascii="Arial" w:cs="Arial" w:eastAsia="Arial" w:hAnsi="Arial"/>
          <w:sz w:val="19"/>
          <w:szCs w:val="19"/>
          <w:color w:val="000000"/>
        </w:rPr>
        <w:t>enable the Borrowers or the Administrative Agent to determine whether or not such Recipient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Recipient’s reasonable judgment such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-505460</wp:posOffset>
            </wp:positionV>
            <wp:extent cx="311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-37-</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180"/>
          </w:cols>
          <w:pgMar w:left="320" w:top="1405" w:right="399" w:bottom="1440" w:gutter="0" w:footer="0" w:header="0"/>
        </w:sectPr>
      </w:pPr>
    </w:p>
    <w:bookmarkStart w:id="102" w:name="page103"/>
    <w:bookmarkEnd w:id="102"/>
    <w:p>
      <w:pPr>
        <w:ind w:right="20"/>
        <w:spacing w:after="0" w:line="229" w:lineRule="auto"/>
        <w:rPr>
          <w:sz w:val="20"/>
          <w:szCs w:val="20"/>
          <w:color w:val="auto"/>
        </w:rPr>
      </w:pPr>
      <w:r>
        <w:rPr>
          <w:rFonts w:ascii="Arial" w:cs="Arial" w:eastAsia="Arial" w:hAnsi="Arial"/>
          <w:sz w:val="20"/>
          <w:szCs w:val="20"/>
          <w:color w:val="auto"/>
        </w:rPr>
        <w:t>execution or submission would subject such Recipient to any material unreimbursed cost or expense or would materially prejudice the legal or commercial position of such Recipient.</w:t>
      </w:r>
    </w:p>
    <w:p>
      <w:pPr>
        <w:spacing w:after="0" w:line="142" w:lineRule="exact"/>
        <w:rPr>
          <w:sz w:val="20"/>
          <w:szCs w:val="20"/>
          <w:color w:val="auto"/>
        </w:rPr>
      </w:pPr>
    </w:p>
    <w:p>
      <w:pPr>
        <w:ind w:left="2600" w:hanging="648"/>
        <w:spacing w:after="0"/>
        <w:tabs>
          <w:tab w:leader="none" w:pos="26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a Borrower is a U.S. Person,</w:t>
      </w:r>
    </w:p>
    <w:p>
      <w:pPr>
        <w:spacing w:after="0" w:line="161" w:lineRule="exact"/>
        <w:rPr>
          <w:rFonts w:ascii="Arial" w:cs="Arial" w:eastAsia="Arial" w:hAnsi="Arial"/>
          <w:sz w:val="20"/>
          <w:szCs w:val="20"/>
          <w:color w:val="auto"/>
        </w:rPr>
      </w:pPr>
    </w:p>
    <w:p>
      <w:pPr>
        <w:ind w:left="1300" w:firstLine="1300"/>
        <w:spacing w:after="0" w:line="227" w:lineRule="auto"/>
        <w:tabs>
          <w:tab w:leader="none" w:pos="3233" w:val="left"/>
        </w:tabs>
        <w:numPr>
          <w:ilvl w:val="1"/>
          <w:numId w:val="59"/>
        </w:numPr>
        <w:rPr>
          <w:rFonts w:ascii="Arial" w:cs="Arial" w:eastAsia="Arial" w:hAnsi="Arial"/>
          <w:sz w:val="21"/>
          <w:szCs w:val="21"/>
          <w:color w:val="auto"/>
        </w:rPr>
      </w:pPr>
      <w:r>
        <w:rPr>
          <w:rFonts w:ascii="Arial" w:cs="Arial" w:eastAsia="Arial" w:hAnsi="Arial"/>
          <w:sz w:val="19"/>
          <w:szCs w:val="19"/>
          <w:color w:val="auto"/>
        </w:rPr>
        <w:t>any Recipient that is a U.S. Person shall deliver to such Borrower and the Administrative Agent on or prior to the date on which such Recipient becomes a party to this Agreement (and from time to time thereafter upon the reasonable request of such Borrower or the Administrative Agent), executed originals or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-38-</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080"/>
          </w:cols>
          <w:pgMar w:left="320" w:top="1405" w:right="499" w:bottom="1440" w:gutter="0" w:footer="0" w:header="0"/>
        </w:sectPr>
      </w:pPr>
    </w:p>
    <w:bookmarkStart w:id="103" w:name="page104"/>
    <w:bookmarkEnd w:id="103"/>
    <w:p>
      <w:pPr>
        <w:ind w:left="1300"/>
        <w:spacing w:after="0"/>
        <w:rPr>
          <w:sz w:val="20"/>
          <w:szCs w:val="20"/>
          <w:color w:val="auto"/>
        </w:rPr>
      </w:pPr>
      <w:r>
        <w:rPr>
          <w:rFonts w:ascii="Arial" w:cs="Arial" w:eastAsia="Arial" w:hAnsi="Arial"/>
          <w:sz w:val="22"/>
          <w:szCs w:val="22"/>
          <w:color w:val="auto"/>
        </w:rPr>
        <w:t>(A)</w:t>
      </w:r>
    </w:p>
    <w:p>
      <w:pPr>
        <w:spacing w:after="0" w:line="184" w:lineRule="exact"/>
        <w:rPr>
          <w:sz w:val="20"/>
          <w:szCs w:val="20"/>
          <w:color w:val="auto"/>
        </w:rPr>
      </w:pPr>
    </w:p>
    <w:p>
      <w:pPr>
        <w:ind w:left="1300"/>
        <w:spacing w:after="0" w:line="210" w:lineRule="auto"/>
        <w:rPr>
          <w:sz w:val="20"/>
          <w:szCs w:val="20"/>
          <w:color w:val="auto"/>
        </w:rPr>
      </w:pPr>
      <w:r>
        <w:rPr>
          <w:rFonts w:ascii="Arial" w:cs="Arial" w:eastAsia="Arial" w:hAnsi="Arial"/>
          <w:sz w:val="20"/>
          <w:szCs w:val="20"/>
          <w:color w:val="auto"/>
        </w:rPr>
        <w:t>becomes a party to this Agreement (and from time to time thereafter upon the reasonable request of such Borrower or the Administrative Agent), executed originals or certified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66" w:lineRule="exact"/>
        <w:rPr>
          <w:sz w:val="20"/>
          <w:szCs w:val="20"/>
          <w:color w:val="auto"/>
        </w:rPr>
      </w:pPr>
    </w:p>
    <w:p>
      <w:pPr>
        <w:ind w:left="3240" w:hanging="640"/>
        <w:spacing w:after="0"/>
        <w:tabs>
          <w:tab w:leader="none" w:pos="3240" w:val="left"/>
        </w:tabs>
        <w:numPr>
          <w:ilvl w:val="0"/>
          <w:numId w:val="60"/>
        </w:numPr>
        <w:rPr>
          <w:rFonts w:ascii="Arial" w:cs="Arial" w:eastAsia="Arial" w:hAnsi="Arial"/>
          <w:sz w:val="22"/>
          <w:szCs w:val="22"/>
          <w:color w:val="auto"/>
        </w:rPr>
      </w:pPr>
      <w:r>
        <w:rPr>
          <w:rFonts w:ascii="Arial" w:cs="Arial" w:eastAsia="Arial" w:hAnsi="Arial"/>
          <w:sz w:val="20"/>
          <w:szCs w:val="20"/>
          <w:color w:val="FF0000"/>
        </w:rPr>
        <w:t>[Omitted]</w:t>
      </w:r>
    </w:p>
    <w:p>
      <w:pPr>
        <w:spacing w:after="0" w:line="179" w:lineRule="exact"/>
        <w:rPr>
          <w:rFonts w:ascii="Arial" w:cs="Arial" w:eastAsia="Arial" w:hAnsi="Arial"/>
          <w:sz w:val="22"/>
          <w:szCs w:val="22"/>
          <w:color w:val="auto"/>
        </w:rPr>
      </w:pPr>
    </w:p>
    <w:p>
      <w:pPr>
        <w:ind w:left="3240" w:hanging="640"/>
        <w:spacing w:after="0"/>
        <w:tabs>
          <w:tab w:leader="none" w:pos="3240" w:val="left"/>
        </w:tabs>
        <w:numPr>
          <w:ilvl w:val="0"/>
          <w:numId w:val="60"/>
        </w:numPr>
        <w:rPr>
          <w:rFonts w:ascii="Arial" w:cs="Arial" w:eastAsia="Arial" w:hAnsi="Arial"/>
          <w:sz w:val="22"/>
          <w:szCs w:val="22"/>
          <w:color w:val="auto"/>
        </w:rPr>
      </w:pPr>
      <w:r>
        <w:rPr>
          <w:rFonts w:ascii="Arial" w:cs="Arial" w:eastAsia="Arial" w:hAnsi="Arial"/>
          <w:sz w:val="20"/>
          <w:szCs w:val="20"/>
          <w:color w:val="FF0000"/>
        </w:rPr>
        <w:t>[Omitted]</w:t>
      </w:r>
    </w:p>
    <w:p>
      <w:pPr>
        <w:spacing w:after="0" w:line="181" w:lineRule="exact"/>
        <w:rPr>
          <w:rFonts w:ascii="Arial" w:cs="Arial" w:eastAsia="Arial" w:hAnsi="Arial"/>
          <w:sz w:val="22"/>
          <w:szCs w:val="22"/>
          <w:color w:val="auto"/>
        </w:rPr>
      </w:pPr>
    </w:p>
    <w:p>
      <w:pPr>
        <w:ind w:left="1300" w:right="100" w:firstLine="1300"/>
        <w:spacing w:after="0" w:line="226" w:lineRule="auto"/>
        <w:tabs>
          <w:tab w:leader="none" w:pos="3233" w:val="left"/>
        </w:tabs>
        <w:numPr>
          <w:ilvl w:val="0"/>
          <w:numId w:val="60"/>
        </w:numPr>
        <w:rPr>
          <w:rFonts w:ascii="Arial" w:cs="Arial" w:eastAsia="Arial" w:hAnsi="Arial"/>
          <w:sz w:val="19"/>
          <w:szCs w:val="19"/>
          <w:color w:val="auto"/>
        </w:rPr>
      </w:pPr>
      <w:r>
        <w:rPr>
          <w:rFonts w:ascii="Arial" w:cs="Arial" w:eastAsia="Arial" w:hAnsi="Arial"/>
          <w:sz w:val="18"/>
          <w:szCs w:val="18"/>
          <w:color w:val="auto"/>
        </w:rPr>
        <w:t>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Recipient has complied with such Recipient’s obligations under FATCA or to determine the amount to deduct and withhold from such payment. Solely for purposes of this clause (D), “FATCA” shall include any amendments made to FATCA after the date of this Agreement.</w:t>
      </w:r>
    </w:p>
    <w:p>
      <w:pPr>
        <w:spacing w:after="0" w:line="160" w:lineRule="exact"/>
        <w:rPr>
          <w:sz w:val="20"/>
          <w:szCs w:val="20"/>
          <w:color w:val="auto"/>
        </w:rPr>
      </w:pPr>
    </w:p>
    <w:p>
      <w:pPr>
        <w:ind w:right="240" w:firstLine="648"/>
        <w:spacing w:after="0" w:line="213" w:lineRule="auto"/>
        <w:rPr>
          <w:sz w:val="20"/>
          <w:szCs w:val="20"/>
          <w:color w:val="auto"/>
        </w:rPr>
      </w:pPr>
      <w:r>
        <w:rPr>
          <w:rFonts w:ascii="Arial" w:cs="Arial" w:eastAsia="Arial" w:hAnsi="Arial"/>
          <w:sz w:val="20"/>
          <w:szCs w:val="20"/>
          <w:color w:val="auto"/>
        </w:rPr>
        <w:t>Each Recipient agrees that if any form or certification it previously delivered expires or becomes obsolete or inaccurate in any respect, it shall update such form or certification or promptly notify the applicable Borrower and the Administrative Agent in writing of its legal inability to do so. Notwithstanding any other provision of this paragraph (f), a Recipient shall not be required to deliver any form that such Recipient is not legally eligible to deliver.</w:t>
      </w:r>
    </w:p>
    <w:p>
      <w:pPr>
        <w:spacing w:after="0" w:line="142" w:lineRule="exact"/>
        <w:rPr>
          <w:sz w:val="20"/>
          <w:szCs w:val="20"/>
          <w:color w:val="auto"/>
        </w:rPr>
      </w:pPr>
    </w:p>
    <w:p>
      <w:pPr>
        <w:ind w:right="100" w:firstLine="1304"/>
        <w:spacing w:after="0" w:line="211" w:lineRule="auto"/>
        <w:tabs>
          <w:tab w:leader="none" w:pos="1932"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w:t>
      </w:r>
      <w:r>
        <w:rPr>
          <w:rFonts w:ascii="Arial" w:cs="Arial" w:eastAsia="Arial" w:hAnsi="Arial"/>
          <w:sz w:val="19"/>
          <w:szCs w:val="19"/>
          <w:u w:val="single" w:color="auto"/>
          <w:color w:val="0000FF"/>
        </w:rPr>
        <w:t>(directly or on an affiliated group basis)</w:t>
      </w:r>
      <w:r>
        <w:rPr>
          <w:rFonts w:ascii="Arial" w:cs="Arial" w:eastAsia="Arial" w:hAnsi="Arial"/>
          <w:sz w:val="19"/>
          <w:szCs w:val="19"/>
          <w:color w:val="auto"/>
        </w:rPr>
        <w:t xml:space="preserve"> of any Taxes (for this purpose, including a credit in lieu of a refund (for the avoidance of doubt, any such credit shall not include a federal foreign tax credit under Code Section 901)) as to which it has been indemnified pursuant to this Section 2.17 (including by the payment of additional amounts pursuant to this Section 2.17), it shall pay to the indemnifying party an amount equal to such refund (but only to the extent of indemnity payments made</w:t>
      </w:r>
      <w:r>
        <w:rPr>
          <w:rFonts w:ascii="Arial" w:cs="Arial" w:eastAsia="Arial" w:hAnsi="Arial"/>
          <w:sz w:val="19"/>
          <w:szCs w:val="19"/>
          <w:color w:val="0000FF"/>
        </w:rPr>
        <w:t>, or additional amounts paid,</w:t>
      </w:r>
      <w:r>
        <w:rPr>
          <w:rFonts w:ascii="Arial" w:cs="Arial" w:eastAsia="Arial" w:hAnsi="Arial"/>
          <w:sz w:val="19"/>
          <w:szCs w:val="19"/>
          <w:color w:val="auto"/>
        </w:rPr>
        <w:t xml:space="preserv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-1340485</wp:posOffset>
            </wp:positionV>
            <wp:extent cx="1405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-39-</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1"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20"/>
          <w:szCs w:val="20"/>
          <w:color w:val="FF0000"/>
        </w:rPr>
        <w:t>Section 1.18</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1.19</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1.20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1.21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1.22</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w:t>
      </w:r>
    </w:p>
    <w:p>
      <w:pPr>
        <w:spacing w:after="0" w:line="14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that have agreed to extend their Applicable Maturity Date and the new or increased Revolving Commitments or the applicable newly assumed outstanding Term Loans of any Additional Commitment Lenders is more than 50% of the aggregate amount of the Revolving Credit Commitments or the outstanding Term Loans, as applicable, in effect immediately prior to the applicable Extension Date, then, effective as of the applicable Extension Date, the Applicable Maturity Date of each Extending Lender and of each Additional Commitment Lender of the applicable Class shall be extended to the Extended Maturity Date (except that, if such date is not a Business Day, such Extended Maturity Date shall be the next preceding Business Day), and each Additional Commitment Lender of such Class shall thereupon become a “Revolving Lender” and/or a “Term Loan Lender”, as the case may be, for all purposes of this Agreement and shall be bound by the provisions of this Agreement as a Revolving Lender and/or a Term Loan Lender, as the case may be, hereunder and shall have the obligations of a Revolving Lender and/or a Term Loan Lender, as the case may be, hereunder.</w:t>
      </w:r>
    </w:p>
    <w:p>
      <w:pPr>
        <w:spacing w:after="0" w:line="142" w:lineRule="exact"/>
        <w:rPr>
          <w:sz w:val="20"/>
          <w:szCs w:val="20"/>
          <w:color w:val="auto"/>
        </w:rPr>
      </w:pPr>
    </w:p>
    <w:p>
      <w:pPr>
        <w:ind w:right="60" w:firstLine="1304"/>
        <w:spacing w:after="0" w:line="228" w:lineRule="auto"/>
        <w:tabs>
          <w:tab w:leader="none" w:pos="193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Extension</w:t>
      </w:r>
      <w:r>
        <w:rPr>
          <w:rFonts w:ascii="Arial" w:cs="Arial" w:eastAsia="Arial" w:hAnsi="Arial"/>
          <w:sz w:val="18"/>
          <w:szCs w:val="18"/>
          <w:color w:val="auto"/>
        </w:rPr>
        <w:t>. Notwithstanding the foregoing, any extension of any Applicable Maturity Date pursuant to this Section 2.22 shall not be effective with respect to any Extending Lender and each Additional Commitment Lender unless (i) no Default or Event of Default shall have occurred and be continuing on the applicable Extension Date and immediately after giving effect thereto; and (ii) the representations and warranties of the Borrowers set forth in this Agreement, and of each Loan Party in each of the other Loan Documents to which it is a party, are true and correct in all material respects (or in all respects if the applicable representation or warranty is qualified by Material Adverse Effect or materiality) on and as of the applicable Extension Date and after giving effect thereto, as though made on and as of such date (or, if any such representation or warranty is expressly stated to have been made as of a specific date, as of such date), as evidenced by delivery of a certificate of a Financial Officer of the Company on the Extension Date.</w:t>
      </w:r>
    </w:p>
    <w:p>
      <w:pPr>
        <w:spacing w:after="0" w:line="141" w:lineRule="exact"/>
        <w:rPr>
          <w:rFonts w:ascii="Arial" w:cs="Arial" w:eastAsia="Arial" w:hAnsi="Arial"/>
          <w:sz w:val="18"/>
          <w:szCs w:val="18"/>
          <w:color w:val="auto"/>
        </w:rPr>
      </w:pPr>
    </w:p>
    <w:p>
      <w:pPr>
        <w:ind w:right="20" w:firstLine="1304"/>
        <w:spacing w:after="0" w:line="227" w:lineRule="auto"/>
        <w:tabs>
          <w:tab w:leader="none" w:pos="193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Maturity Date for Non-Extending Lenders</w:t>
      </w:r>
      <w:r>
        <w:rPr>
          <w:rFonts w:ascii="Arial" w:cs="Arial" w:eastAsia="Arial" w:hAnsi="Arial"/>
          <w:sz w:val="18"/>
          <w:szCs w:val="18"/>
          <w:color w:val="auto"/>
        </w:rPr>
        <w:t xml:space="preserve">. On the Applicable Maturity Date of each Non-Extending Lender with respect to any Class, (i) to the extent of the Revolving Commitments of each Non-Extending Lender of the relevant Class not assigned to the Additional Commitment Lenders of such Class, the Revolving Commitment of each Non-Extending Lender of such Class shall automatically terminate and (ii) the applicable Borrower(s) shall repay such Non-Extending Lender of such Class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 shall pay to such Non-Extending Lender all of the other Obligations due and owing to it under this Agreement, including any additional amounts required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and the Administrative Agent shall administer any necessary reallocation of the applicable Revolving Credit Exposures with respect to Revolving Commitments to the extent necessary to keep outstanding Revolving Loans of the applicable Class ratable with any revised Revolving Percentages of the respective Lenders of such Class effective as of such date (without regard to any minimum borrowing, pro rata borrowing and/or pro rata payment requirements contained elsewhere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-60-</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105" w:name="page106"/>
    <w:bookmarkEnd w:id="105"/>
    <w:p>
      <w:pPr>
        <w:ind w:left="1940" w:hanging="636"/>
        <w:spacing w:after="0"/>
        <w:tabs>
          <w:tab w:leader="none" w:pos="19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This Section 2.22 shall supersede any provisions in Section 2.18 or Section 10.02 to the</w:t>
      </w:r>
    </w:p>
    <w:p>
      <w:pPr>
        <w:spacing w:after="0"/>
        <w:rPr>
          <w:sz w:val="20"/>
          <w:szCs w:val="20"/>
          <w:color w:val="auto"/>
        </w:rPr>
      </w:pPr>
      <w:r>
        <w:rPr>
          <w:rFonts w:ascii="Arial" w:cs="Arial" w:eastAsia="Arial" w:hAnsi="Arial"/>
          <w:sz w:val="20"/>
          <w:szCs w:val="20"/>
          <w:color w:val="auto"/>
        </w:rPr>
        <w:t>contrary.</w:t>
      </w:r>
    </w:p>
    <w:p>
      <w:pPr>
        <w:spacing w:after="0" w:line="146" w:lineRule="exact"/>
        <w:rPr>
          <w:sz w:val="20"/>
          <w:szCs w:val="20"/>
          <w:color w:val="auto"/>
        </w:rPr>
      </w:pPr>
    </w:p>
    <w:p>
      <w:pPr>
        <w:ind w:right="260" w:firstLine="648"/>
        <w:spacing w:after="0" w:line="229" w:lineRule="auto"/>
        <w:rPr>
          <w:sz w:val="20"/>
          <w:szCs w:val="20"/>
          <w:color w:val="auto"/>
        </w:rPr>
      </w:pPr>
      <w:r>
        <w:rPr>
          <w:rFonts w:ascii="Arial" w:cs="Arial" w:eastAsia="Arial" w:hAnsi="Arial"/>
          <w:sz w:val="20"/>
          <w:szCs w:val="20"/>
          <w:color w:val="auto"/>
        </w:rPr>
        <w:t xml:space="preserve">Section 1.23 </w:t>
      </w:r>
      <w:r>
        <w:rPr>
          <w:rFonts w:ascii="Arial" w:cs="Arial" w:eastAsia="Arial" w:hAnsi="Arial"/>
          <w:sz w:val="20"/>
          <w:szCs w:val="20"/>
          <w:u w:val="single" w:color="auto"/>
          <w:color w:val="FF0000"/>
          <w:strike w:val="1"/>
        </w:rPr>
        <w:t>Effect of Benchmark Transition Event</w:t>
      </w:r>
      <w:r>
        <w:rPr>
          <w:rFonts w:ascii="Arial" w:cs="Arial" w:eastAsia="Arial" w:hAnsi="Arial"/>
          <w:sz w:val="20"/>
          <w:szCs w:val="20"/>
          <w:color w:val="FF0000"/>
          <w:strike w:val="1"/>
        </w:rPr>
        <w:t>.</w:t>
      </w:r>
      <w:r>
        <w:rPr>
          <w:rFonts w:ascii="Arial" w:cs="Arial" w:eastAsia="Arial" w:hAnsi="Arial"/>
          <w:sz w:val="20"/>
          <w:szCs w:val="20"/>
          <w:u w:val="single" w:color="auto"/>
          <w:color w:val="0000FF"/>
        </w:rPr>
        <w:t>Benchmark Replacement Setting.</w:t>
      </w:r>
      <w:r>
        <w:rPr>
          <w:rFonts w:ascii="Arial" w:cs="Arial" w:eastAsia="Arial" w:hAnsi="Arial"/>
          <w:sz w:val="20"/>
          <w:szCs w:val="20"/>
          <w:color w:val="auto"/>
        </w:rPr>
        <w:t xml:space="preserve"> </w:t>
      </w:r>
      <w:r>
        <w:rPr>
          <w:rFonts w:ascii="Arial" w:cs="Arial" w:eastAsia="Arial" w:hAnsi="Arial"/>
          <w:sz w:val="20"/>
          <w:szCs w:val="20"/>
          <w:u w:val="single" w:color="auto"/>
          <w:color w:val="E36C0A"/>
        </w:rPr>
        <w:t>Notwithstanding anything to the contrary</w:t>
      </w:r>
      <w:r>
        <w:rPr>
          <w:rFonts w:ascii="Arial" w:cs="Arial" w:eastAsia="Arial" w:hAnsi="Arial"/>
          <w:sz w:val="20"/>
          <w:szCs w:val="20"/>
          <w:color w:val="auto"/>
        </w:rPr>
        <w:t xml:space="preserve"> </w:t>
      </w:r>
      <w:r>
        <w:rPr>
          <w:rFonts w:ascii="Arial" w:cs="Arial" w:eastAsia="Arial" w:hAnsi="Arial"/>
          <w:sz w:val="20"/>
          <w:szCs w:val="20"/>
          <w:u w:val="single" w:color="auto"/>
          <w:color w:val="E36C0A"/>
        </w:rPr>
        <w:t>herein or in any other Loan Document</w:t>
      </w:r>
      <w:r>
        <w:rPr>
          <w:rFonts w:ascii="Arial" w:cs="Arial" w:eastAsia="Arial" w:hAnsi="Arial"/>
          <w:sz w:val="20"/>
          <w:szCs w:val="20"/>
          <w:u w:val="single" w:color="auto"/>
          <w:color w:val="0000FF"/>
        </w:rPr>
        <w:t>:</w:t>
      </w:r>
    </w:p>
    <w:p>
      <w:pPr>
        <w:spacing w:after="0" w:line="155" w:lineRule="exact"/>
        <w:rPr>
          <w:sz w:val="20"/>
          <w:szCs w:val="20"/>
          <w:color w:val="auto"/>
        </w:rPr>
      </w:pPr>
    </w:p>
    <w:p>
      <w:pPr>
        <w:ind w:right="40" w:firstLine="1304"/>
        <w:spacing w:after="0" w:line="221" w:lineRule="auto"/>
        <w:tabs>
          <w:tab w:leader="none" w:pos="1713" w:val="left"/>
        </w:tabs>
        <w:numPr>
          <w:ilvl w:val="1"/>
          <w:numId w:val="64"/>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Replacing LIBOR. On March 5, 2021 ICE Benchmark Administration (“</w:t>
      </w:r>
      <w:r>
        <w:rPr>
          <w:rFonts w:ascii="Arial" w:cs="Arial" w:eastAsia="Arial" w:hAnsi="Arial"/>
          <w:sz w:val="18"/>
          <w:szCs w:val="18"/>
          <w:b w:val="1"/>
          <w:bCs w:val="1"/>
          <w:i w:val="1"/>
          <w:iCs w:val="1"/>
          <w:u w:val="single" w:color="auto"/>
          <w:color w:val="0000FF"/>
        </w:rPr>
        <w:t>IBA</w:t>
      </w:r>
      <w:r>
        <w:rPr>
          <w:rFonts w:ascii="Arial" w:cs="Arial" w:eastAsia="Arial" w:hAnsi="Arial"/>
          <w:sz w:val="18"/>
          <w:szCs w:val="18"/>
          <w:u w:val="single" w:color="auto"/>
          <w:color w:val="0000FF"/>
        </w:rPr>
        <w:t>”), the entity that calculates and publishes LIBOR, and the U.K. Financial Conduct Authority (“</w:t>
      </w:r>
      <w:r>
        <w:rPr>
          <w:rFonts w:ascii="Arial" w:cs="Arial" w:eastAsia="Arial" w:hAnsi="Arial"/>
          <w:sz w:val="18"/>
          <w:szCs w:val="18"/>
          <w:b w:val="1"/>
          <w:bCs w:val="1"/>
          <w:i w:val="1"/>
          <w:iCs w:val="1"/>
          <w:u w:val="single" w:color="auto"/>
          <w:color w:val="0000FF"/>
        </w:rPr>
        <w:t>FCA</w:t>
      </w:r>
      <w:r>
        <w:rPr>
          <w:rFonts w:ascii="Arial" w:cs="Arial" w:eastAsia="Arial" w:hAnsi="Arial"/>
          <w:sz w:val="18"/>
          <w:szCs w:val="18"/>
          <w:u w:val="single" w:color="auto"/>
          <w:color w:val="0000FF"/>
        </w:rPr>
        <w:t>”), the regulatory supervisor of IBA, made public statements regarding the future cessation of LIBOR. According to the FCA, IBA will permanently cease publication of (i) all GBP, EUR, CHF and JPY LIBOR settings, and the 1-week and 2-month USD LIBOR settings following the publication of such settings on December 31, 2021, and (ii) the overnight/Spot Next, 1-month, 3-month, 6-month and 12-month USD LIBOR settings, immediately following the publication of such settings on June 30, 2023. As a consequence, (x) on January 1, 2022, each applicable Benchmark Replacement will replace all LIBOR settings for any Loans denominated in GPB, EUR, CHF and JPY, and any option to select 1 week or 2-month USD LIBOR will no longer be available and (y) on the earliest of (i) July 1, 2023, (ii) the date that all Available Tenors of LIBOR have either permanently or indefinitely ceased to be provided by IBA or have been announced by the FCA pursuant to public statement or publication of information to be no longer representative and</w:t>
      </w:r>
    </w:p>
    <w:p>
      <w:pPr>
        <w:spacing w:after="0" w:line="1" w:lineRule="exact"/>
        <w:rPr>
          <w:rFonts w:ascii="Arial" w:cs="Arial" w:eastAsia="Arial" w:hAnsi="Arial"/>
          <w:sz w:val="18"/>
          <w:szCs w:val="18"/>
          <w:u w:val="single" w:color="auto"/>
          <w:color w:val="0000FF"/>
        </w:rPr>
      </w:pPr>
    </w:p>
    <w:p>
      <w:pPr>
        <w:ind w:right="20" w:firstLine="8"/>
        <w:spacing w:after="0" w:line="205" w:lineRule="auto"/>
        <w:tabs>
          <w:tab w:leader="none" w:pos="346" w:val="left"/>
        </w:tabs>
        <w:numPr>
          <w:ilvl w:val="0"/>
          <w:numId w:val="6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Early Opt-in Effective Date, if the then-current Benchmark is LIBOR, the applicable Benchmark Replacement will replace such Benchmark, in the case of both clauses (x) and (y), for all purposes hereunder and under any Loan Document in respect of any setting of such Benchmark on such day and all subsequent settings without any amendment to, or further action by or consent of any other party to, this Agreement or any other Loan Document. If the Benchmark Replacement for Loans denominated in U.S. Dollars, GBP or CHF is Daily Simple SOFR, Daily Simple SONIA, or Daily Simple SARON, respectively, all interest payments in respect of such Loans will be payable on a quarterly basis.</w:t>
      </w:r>
    </w:p>
    <w:p>
      <w:pPr>
        <w:spacing w:after="0" w:line="155" w:lineRule="exact"/>
        <w:rPr>
          <w:rFonts w:ascii="Arial" w:cs="Arial" w:eastAsia="Arial" w:hAnsi="Arial"/>
          <w:sz w:val="20"/>
          <w:szCs w:val="20"/>
          <w:u w:val="single" w:color="auto"/>
          <w:color w:val="0000FF"/>
        </w:rPr>
      </w:pPr>
    </w:p>
    <w:p>
      <w:pPr>
        <w:ind w:firstLine="1304"/>
        <w:spacing w:after="0" w:line="222" w:lineRule="auto"/>
        <w:tabs>
          <w:tab w:leader="none" w:pos="1724" w:val="left"/>
        </w:tabs>
        <w:numPr>
          <w:ilvl w:val="1"/>
          <w:numId w:val="6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 xml:space="preserve">Replacing Other Benchmarks. If any Benchmark Transition Event occurs after the date hereof (other than as described above in clause (a)) with respect to any Benchmark, the applicable Benchmark will be replaced with the applicable Benchmark Replacement for all purposes hereunder and under any Loan Document in respect of any Benchmark setting on the later of (i) 5:00 p.m. (New York City time) on </w:t>
      </w:r>
      <w:r>
        <w:rPr>
          <w:rFonts w:ascii="Arial" w:cs="Arial" w:eastAsia="Arial" w:hAnsi="Arial"/>
          <w:sz w:val="18"/>
          <w:szCs w:val="18"/>
          <w:u w:val="single" w:color="auto"/>
          <w:color w:val="008000"/>
        </w:rPr>
        <w:t>the fifth (5th) Business Day after the</w:t>
      </w:r>
      <w:r>
        <w:rPr>
          <w:rFonts w:ascii="Arial" w:cs="Arial" w:eastAsia="Arial" w:hAnsi="Arial"/>
          <w:sz w:val="18"/>
          <w:szCs w:val="18"/>
          <w:u w:val="single" w:color="auto"/>
          <w:color w:val="0000FF"/>
        </w:rPr>
        <w:t xml:space="preserve"> date notice of such Benchmark Replacement is provided to the Lenders and the Company (together, if applicable, with an amendment to this Agreement implementing such Benchmark Replacement and any applicable Benchmark Replacement Conforming Changes) or (ii) such other date as may be determined by the Administrative Agent, in each case, without any further action or consent of any other party to this Agreement or any other Loan Document, </w:t>
      </w:r>
      <w:r>
        <w:rPr>
          <w:rFonts w:ascii="Arial" w:cs="Arial" w:eastAsia="Arial" w:hAnsi="Arial"/>
          <w:sz w:val="18"/>
          <w:szCs w:val="18"/>
          <w:u w:val="single" w:color="auto"/>
          <w:color w:val="008000"/>
        </w:rPr>
        <w:t>so long as the Administrative Agent has not</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received, by such time </w:t>
      </w:r>
      <w:r>
        <w:rPr>
          <w:rFonts w:ascii="Arial" w:cs="Arial" w:eastAsia="Arial" w:hAnsi="Arial"/>
          <w:sz w:val="18"/>
          <w:szCs w:val="18"/>
          <w:u w:val="single" w:color="auto"/>
          <w:color w:val="0000FF"/>
        </w:rPr>
        <w:t>(or, in the case of clause (ii) above, such time as may be specified by the Administrative Agent as a deadline to receive</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objections, but in any case, no less than five (5) Business Days after the date such notice is provided to the Lenders and the Company)</w:t>
      </w:r>
      <w:r>
        <w:rPr>
          <w:rFonts w:ascii="Arial" w:cs="Arial" w:eastAsia="Arial" w:hAnsi="Arial"/>
          <w:sz w:val="18"/>
          <w:szCs w:val="18"/>
          <w:u w:val="single" w:color="auto"/>
          <w:color w:val="008000"/>
        </w:rPr>
        <w:t>,</w:t>
      </w:r>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08000"/>
        </w:rPr>
        <w:t xml:space="preserve">written notice of objection to such </w:t>
      </w:r>
      <w:r>
        <w:rPr>
          <w:rFonts w:ascii="Arial" w:cs="Arial" w:eastAsia="Arial" w:hAnsi="Arial"/>
          <w:sz w:val="18"/>
          <w:szCs w:val="18"/>
          <w:u w:val="single" w:color="auto"/>
          <w:color w:val="0000FF"/>
        </w:rPr>
        <w:t>Benchmark Replacement</w:t>
      </w:r>
      <w:r>
        <w:rPr>
          <w:rFonts w:ascii="Arial" w:cs="Arial" w:eastAsia="Arial" w:hAnsi="Arial"/>
          <w:sz w:val="18"/>
          <w:szCs w:val="18"/>
          <w:u w:val="single" w:color="auto"/>
          <w:color w:val="008000"/>
        </w:rPr>
        <w:t xml:space="preserve"> from Lenders comprising the Required Lenders</w:t>
      </w:r>
      <w:r>
        <w:rPr>
          <w:rFonts w:ascii="Arial" w:cs="Arial" w:eastAsia="Arial" w:hAnsi="Arial"/>
          <w:sz w:val="18"/>
          <w:szCs w:val="18"/>
          <w:u w:val="single" w:color="auto"/>
          <w:color w:val="0000FF"/>
        </w:rPr>
        <w:t>. At any time that the</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 xml:space="preserve">administrator of any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each Borrower (or the Company, on behalf of any Borrower) </w:t>
      </w:r>
      <w:r>
        <w:rPr>
          <w:rFonts w:ascii="Arial" w:cs="Arial" w:eastAsia="Arial" w:hAnsi="Arial"/>
          <w:sz w:val="18"/>
          <w:szCs w:val="18"/>
          <w:u w:val="single" w:color="auto"/>
          <w:color w:val="008000"/>
        </w:rPr>
        <w:t>may revoke any request for a</w:t>
      </w:r>
      <w:r>
        <w:rPr>
          <w:rFonts w:ascii="Arial" w:cs="Arial" w:eastAsia="Arial" w:hAnsi="Arial"/>
          <w:sz w:val="18"/>
          <w:szCs w:val="18"/>
          <w:u w:val="single" w:color="auto"/>
          <w:color w:val="0000FF"/>
        </w:rPr>
        <w:t xml:space="preserve"> borrowing </w:t>
      </w:r>
      <w:r>
        <w:rPr>
          <w:rFonts w:ascii="Arial" w:cs="Arial" w:eastAsia="Arial" w:hAnsi="Arial"/>
          <w:sz w:val="18"/>
          <w:szCs w:val="18"/>
          <w:u w:val="single" w:color="auto"/>
          <w:color w:val="008000"/>
        </w:rPr>
        <w:t>of, conversion to or continuation of Loans to be made, converted or continued</w:t>
      </w:r>
      <w:r>
        <w:rPr>
          <w:rFonts w:ascii="Arial" w:cs="Arial" w:eastAsia="Arial" w:hAnsi="Arial"/>
          <w:sz w:val="18"/>
          <w:szCs w:val="18"/>
          <w:u w:val="single" w:color="auto"/>
          <w:color w:val="0000FF"/>
        </w:rPr>
        <w:t xml:space="preserve"> that would bear interest by reference to such Benchmark until such Borrower’s receipt of notice from the Administrative Agent </w:t>
      </w:r>
      <w:r>
        <w:rPr>
          <w:rFonts w:ascii="Arial" w:cs="Arial" w:eastAsia="Arial" w:hAnsi="Arial"/>
          <w:sz w:val="18"/>
          <w:szCs w:val="18"/>
          <w:u w:val="single" w:color="auto"/>
          <w:color w:val="008000"/>
        </w:rPr>
        <w:t>that a Benchmark Replacement has replaced</w:t>
      </w:r>
      <w:r>
        <w:rPr>
          <w:rFonts w:ascii="Arial" w:cs="Arial" w:eastAsia="Arial" w:hAnsi="Arial"/>
          <w:sz w:val="18"/>
          <w:szCs w:val="18"/>
          <w:u w:val="single" w:color="auto"/>
          <w:color w:val="0000FF"/>
        </w:rPr>
        <w:t xml:space="preserve"> such Benchmark, and, failing that, (i) in the case of any request for a borrowing of, conversion to or continuation of Loans denominated in U.S. Dollars</w:t>
      </w:r>
      <w:r>
        <w:rPr>
          <w:rFonts w:ascii="Arial" w:cs="Arial" w:eastAsia="Arial" w:hAnsi="Arial"/>
          <w:sz w:val="18"/>
          <w:szCs w:val="18"/>
          <w:u w:val="single" w:color="auto"/>
          <w:color w:val="008000"/>
        </w:rPr>
        <w:t>, such Borrower will be deemed to have converted any such request into a request for a</w:t>
      </w:r>
      <w:r>
        <w:rPr>
          <w:rFonts w:ascii="Arial" w:cs="Arial" w:eastAsia="Arial" w:hAnsi="Arial"/>
          <w:sz w:val="18"/>
          <w:szCs w:val="18"/>
          <w:u w:val="single" w:color="auto"/>
          <w:color w:val="0000FF"/>
        </w:rPr>
        <w:t xml:space="preserve"> borrowing of or conversion to ABR Loans, and (ii) in the case of any request for a borrowing of, conversion to or continuation of Loans denominated in any Designated Foreign Currency, such Borrower will be deemed to have converted any such request into a request for a borrowing of or conversion to ABR Loans denominated in U.S. Dollars. During the period referenced in the foregoing sentence, the component of ABR based upon the applicable Benchmark </w:t>
      </w:r>
      <w:r>
        <w:rPr>
          <w:rFonts w:ascii="Arial" w:cs="Arial" w:eastAsia="Arial" w:hAnsi="Arial"/>
          <w:sz w:val="18"/>
          <w:szCs w:val="18"/>
          <w:u w:val="single" w:color="auto"/>
          <w:color w:val="008000"/>
        </w:rPr>
        <w:t>will not be used in any determination of ABR.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-2183130</wp:posOffset>
            </wp:positionV>
            <wp:extent cx="311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-61-</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3" w:right="339" w:bottom="1440" w:gutter="0" w:footer="0" w:header="0"/>
        </w:sectPr>
      </w:pPr>
    </w:p>
    <w:bookmarkStart w:id="106" w:name="page107"/>
    <w:bookmarkEnd w:id="106"/>
    <w:p>
      <w:pPr>
        <w:ind w:firstLine="1304"/>
        <w:spacing w:after="0" w:line="224" w:lineRule="auto"/>
        <w:tabs>
          <w:tab w:leader="none" w:pos="1713" w:val="left"/>
        </w:tabs>
        <w:numPr>
          <w:ilvl w:val="0"/>
          <w:numId w:val="66"/>
        </w:numPr>
        <w:rPr>
          <w:rFonts w:ascii="Arial" w:cs="Arial" w:eastAsia="Arial" w:hAnsi="Arial"/>
          <w:sz w:val="19"/>
          <w:szCs w:val="19"/>
          <w:u w:val="single" w:color="auto"/>
          <w:color w:val="008000"/>
        </w:rPr>
      </w:pPr>
      <w:r>
        <w:rPr>
          <w:rFonts w:ascii="Arial" w:cs="Arial" w:eastAsia="Arial" w:hAnsi="Arial"/>
          <w:sz w:val="19"/>
          <w:szCs w:val="19"/>
          <w:u w:val="single" w:color="auto"/>
          <w:color w:val="008000"/>
        </w:rPr>
        <w:t xml:space="preserve">Benchmark Replacement Conforming Changes. In connection with the implementation </w:t>
      </w:r>
      <w:r>
        <w:rPr>
          <w:rFonts w:ascii="Arial" w:cs="Arial" w:eastAsia="Arial" w:hAnsi="Arial"/>
          <w:sz w:val="19"/>
          <w:szCs w:val="19"/>
          <w:u w:val="single" w:color="auto"/>
          <w:color w:val="0000FF"/>
        </w:rPr>
        <w:t>and administration of a</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Benchmark Replacement (whether in connection with the replacement of LIBOR or any future Benchmark)</w:t>
      </w:r>
      <w:r>
        <w:rPr>
          <w:rFonts w:ascii="Arial" w:cs="Arial" w:eastAsia="Arial" w:hAnsi="Arial"/>
          <w:sz w:val="19"/>
          <w:szCs w:val="19"/>
          <w:u w:val="single" w:color="auto"/>
          <w:color w:val="008000"/>
        </w:rPr>
        <w:t>, the Administrative Agent will</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have the right to make Benchmark Replacement Conforming Changes from time to time and, notwithstanding anything to the contrary herein or in any other Loan Document, any amendments implementing such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-62-</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00"/>
          </w:cols>
          <w:pgMar w:left="320" w:top="1405" w:right="379" w:bottom="1440" w:gutter="0" w:footer="0" w:header="0"/>
        </w:sectPr>
      </w:pPr>
    </w:p>
    <w:bookmarkStart w:id="107" w:name="page108"/>
    <w:bookmarkEnd w:id="107"/>
    <w:p>
      <w:pPr>
        <w:ind w:right="200"/>
        <w:spacing w:after="0" w:line="229" w:lineRule="auto"/>
        <w:rPr>
          <w:sz w:val="20"/>
          <w:szCs w:val="20"/>
          <w:color w:val="auto"/>
        </w:rPr>
      </w:pPr>
      <w:r>
        <w:rPr>
          <w:rFonts w:ascii="Arial" w:cs="Arial" w:eastAsia="Arial" w:hAnsi="Arial"/>
          <w:sz w:val="20"/>
          <w:szCs w:val="20"/>
          <w:u w:val="single" w:color="auto"/>
          <w:color w:val="008000"/>
        </w:rPr>
        <w:t xml:space="preserve">Replacement Conforming Changes will become effective without any further action or consent of any other party to this Agreement </w:t>
      </w:r>
      <w:r>
        <w:rPr>
          <w:rFonts w:ascii="Arial" w:cs="Arial" w:eastAsia="Arial" w:hAnsi="Arial"/>
          <w:sz w:val="20"/>
          <w:szCs w:val="20"/>
          <w:u w:val="single" w:color="auto"/>
          <w:color w:val="0000FF"/>
        </w:rPr>
        <w:t>or any</w:t>
      </w:r>
      <w:r>
        <w:rPr>
          <w:rFonts w:ascii="Arial" w:cs="Arial" w:eastAsia="Arial" w:hAnsi="Arial"/>
          <w:sz w:val="20"/>
          <w:szCs w:val="20"/>
          <w:u w:val="single" w:color="auto"/>
          <w:color w:val="008000"/>
        </w:rPr>
        <w:t xml:space="preserve"> </w:t>
      </w:r>
      <w:r>
        <w:rPr>
          <w:rFonts w:ascii="Arial" w:cs="Arial" w:eastAsia="Arial" w:hAnsi="Arial"/>
          <w:sz w:val="20"/>
          <w:szCs w:val="20"/>
          <w:u w:val="single" w:color="auto"/>
          <w:color w:val="0000FF"/>
        </w:rPr>
        <w:t>other Loan Document.</w:t>
      </w:r>
    </w:p>
    <w:p>
      <w:pPr>
        <w:spacing w:after="0" w:line="142" w:lineRule="exact"/>
        <w:rPr>
          <w:sz w:val="20"/>
          <w:szCs w:val="20"/>
          <w:color w:val="auto"/>
        </w:rPr>
      </w:pPr>
    </w:p>
    <w:p>
      <w:pPr>
        <w:ind w:right="120" w:firstLine="1304"/>
        <w:spacing w:after="0" w:line="214" w:lineRule="auto"/>
        <w:tabs>
          <w:tab w:leader="none" w:pos="1724" w:val="left"/>
        </w:tabs>
        <w:numPr>
          <w:ilvl w:val="0"/>
          <w:numId w:val="67"/>
        </w:numPr>
        <w:rPr>
          <w:rFonts w:ascii="Arial" w:cs="Arial" w:eastAsia="Arial" w:hAnsi="Arial"/>
          <w:sz w:val="19"/>
          <w:szCs w:val="19"/>
          <w:u w:val="single" w:color="auto"/>
          <w:color w:val="E36C0A"/>
        </w:rPr>
      </w:pPr>
      <w:r>
        <w:rPr>
          <w:rFonts w:ascii="Arial" w:cs="Arial" w:eastAsia="Arial" w:hAnsi="Arial"/>
          <w:sz w:val="19"/>
          <w:szCs w:val="19"/>
          <w:u w:val="single" w:color="auto"/>
          <w:color w:val="008000"/>
        </w:rPr>
        <w:t>Notices; Standards for Decisions and Determinations. The Administrative Agent will promptly notify the Borrowers and the Lenders</w:t>
      </w:r>
      <w:r>
        <w:rPr>
          <w:rFonts w:ascii="Arial" w:cs="Arial" w:eastAsia="Arial" w:hAnsi="Arial"/>
          <w:sz w:val="19"/>
          <w:szCs w:val="19"/>
          <w:color w:val="008000"/>
        </w:rPr>
        <w:t xml:space="preserve"> </w:t>
      </w:r>
      <w:r>
        <w:rPr>
          <w:rFonts w:ascii="Arial" w:cs="Arial" w:eastAsia="Arial" w:hAnsi="Arial"/>
          <w:sz w:val="19"/>
          <w:szCs w:val="19"/>
          <w:color w:val="0000FF"/>
        </w:rPr>
        <w:t>of (i)</w:t>
      </w:r>
      <w:r>
        <w:rPr>
          <w:rFonts w:ascii="Arial" w:cs="Arial" w:eastAsia="Arial" w:hAnsi="Arial"/>
          <w:sz w:val="19"/>
          <w:szCs w:val="19"/>
          <w:color w:val="008000"/>
        </w:rPr>
        <w:t xml:space="preserve"> </w:t>
      </w:r>
      <w:r>
        <w:rPr>
          <w:rFonts w:ascii="Arial" w:cs="Arial" w:eastAsia="Arial" w:hAnsi="Arial"/>
          <w:sz w:val="19"/>
          <w:szCs w:val="19"/>
          <w:color w:val="008000"/>
          <w:strike w:val="1"/>
        </w:rPr>
        <w:t>the implementation of any Benchmark Replacement</w:t>
      </w:r>
      <w:r>
        <w:rPr>
          <w:rFonts w:ascii="Arial" w:cs="Arial" w:eastAsia="Arial" w:hAnsi="Arial"/>
          <w:sz w:val="19"/>
          <w:szCs w:val="19"/>
          <w:color w:val="008000"/>
        </w:rPr>
        <w:t xml:space="preserve"> </w:t>
      </w:r>
      <w:r>
        <w:rPr>
          <w:rFonts w:ascii="Arial" w:cs="Arial" w:eastAsia="Arial" w:hAnsi="Arial"/>
          <w:sz w:val="19"/>
          <w:szCs w:val="19"/>
          <w:color w:val="000000"/>
        </w:rPr>
        <w:t>and (ii)</w:t>
      </w:r>
      <w:r>
        <w:rPr>
          <w:rFonts w:ascii="Arial" w:cs="Arial" w:eastAsia="Arial" w:hAnsi="Arial"/>
          <w:sz w:val="19"/>
          <w:szCs w:val="19"/>
          <w:color w:val="008000"/>
        </w:rPr>
        <w:t xml:space="preserve"> </w:t>
      </w:r>
      <w:r>
        <w:rPr>
          <w:rFonts w:ascii="Arial" w:cs="Arial" w:eastAsia="Arial" w:hAnsi="Arial"/>
          <w:sz w:val="19"/>
          <w:szCs w:val="19"/>
          <w:u w:val="single" w:color="auto"/>
          <w:color w:val="008000"/>
        </w:rPr>
        <w:t>the effectiveness of any Benchmark Replacement</w:t>
      </w:r>
      <w:r>
        <w:rPr>
          <w:rFonts w:ascii="Arial" w:cs="Arial" w:eastAsia="Arial" w:hAnsi="Arial"/>
          <w:sz w:val="19"/>
          <w:szCs w:val="19"/>
          <w:color w:val="008000"/>
        </w:rPr>
        <w:t xml:space="preserve"> </w:t>
      </w:r>
      <w:r>
        <w:rPr>
          <w:rFonts w:ascii="Arial" w:cs="Arial" w:eastAsia="Arial" w:hAnsi="Arial"/>
          <w:sz w:val="19"/>
          <w:szCs w:val="19"/>
          <w:u w:val="single" w:color="auto"/>
          <w:color w:val="008000"/>
        </w:rPr>
        <w:t>Conforming Changes. Any determination, decision or election that may be made by the Administrative Agent or</w:t>
      </w:r>
      <w:r>
        <w:rPr>
          <w:rFonts w:ascii="Arial" w:cs="Arial" w:eastAsia="Arial" w:hAnsi="Arial"/>
          <w:sz w:val="19"/>
          <w:szCs w:val="19"/>
          <w:u w:val="single" w:color="auto"/>
          <w:color w:val="0000FF"/>
        </w:rPr>
        <w:t>, if applicable, any Lender</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 xml:space="preserve">(or group of Lenders) pursuant to this Section </w:t>
      </w:r>
      <w:r>
        <w:rPr>
          <w:rFonts w:ascii="Arial" w:cs="Arial" w:eastAsia="Arial" w:hAnsi="Arial"/>
          <w:sz w:val="19"/>
          <w:szCs w:val="19"/>
          <w:u w:val="single" w:color="auto"/>
          <w:color w:val="008000"/>
        </w:rPr>
        <w:t>including, without limitation, any determination with respect to a tenor, rate or adjustment, or</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implementation of any Benchmark Replacement </w:t>
      </w:r>
      <w:r>
        <w:rPr>
          <w:rFonts w:ascii="Arial" w:cs="Arial" w:eastAsia="Arial" w:hAnsi="Arial"/>
          <w:sz w:val="19"/>
          <w:szCs w:val="19"/>
          <w:u w:val="single" w:color="auto"/>
          <w:color w:val="0000FF"/>
        </w:rPr>
        <w:t>Conforming Changes, the timing of implementation of any Benchmark Replacement</w:t>
      </w:r>
      <w:r>
        <w:rPr>
          <w:rFonts w:ascii="Arial" w:cs="Arial" w:eastAsia="Arial" w:hAnsi="Arial"/>
          <w:sz w:val="19"/>
          <w:szCs w:val="19"/>
          <w:u w:val="single" w:color="auto"/>
          <w:color w:val="008000"/>
        </w:rPr>
        <w:t xml:space="preserve"> or of the occurrence or non-occurrence of an event, circumstance or date and any decision to take or refrain from taking any action, will be conclusive and binding on all parties hereto absent manifest error and may be made in its or their</w:t>
      </w:r>
      <w:r>
        <w:rPr>
          <w:rFonts w:ascii="Arial" w:cs="Arial" w:eastAsia="Arial" w:hAnsi="Arial"/>
          <w:sz w:val="19"/>
          <w:szCs w:val="19"/>
          <w:u w:val="single" w:color="auto"/>
          <w:color w:val="0000FF"/>
        </w:rPr>
        <w:t>, as applicable,</w:t>
      </w:r>
      <w:r>
        <w:rPr>
          <w:rFonts w:ascii="Arial" w:cs="Arial" w:eastAsia="Arial" w:hAnsi="Arial"/>
          <w:sz w:val="19"/>
          <w:szCs w:val="19"/>
          <w:u w:val="single" w:color="auto"/>
          <w:color w:val="008000"/>
        </w:rPr>
        <w:t xml:space="preserve"> sole discretion and without consent from any other party </w:t>
      </w:r>
      <w:r>
        <w:rPr>
          <w:rFonts w:ascii="Arial" w:cs="Arial" w:eastAsia="Arial" w:hAnsi="Arial"/>
          <w:sz w:val="19"/>
          <w:szCs w:val="19"/>
          <w:u w:val="single" w:color="auto"/>
          <w:color w:val="0000FF"/>
        </w:rPr>
        <w:t>to this Agreement or any other Loan Document</w:t>
      </w:r>
      <w:r>
        <w:rPr>
          <w:rFonts w:ascii="Arial" w:cs="Arial" w:eastAsia="Arial" w:hAnsi="Arial"/>
          <w:sz w:val="19"/>
          <w:szCs w:val="19"/>
          <w:u w:val="single" w:color="auto"/>
          <w:color w:val="008000"/>
        </w:rPr>
        <w:t>, except, in each case, as expressly required pursuant to this Section</w:t>
      </w:r>
      <w:r>
        <w:rPr>
          <w:rFonts w:ascii="Arial" w:cs="Arial" w:eastAsia="Arial" w:hAnsi="Arial"/>
          <w:sz w:val="19"/>
          <w:szCs w:val="19"/>
          <w:u w:val="single" w:color="auto"/>
          <w:color w:val="0000FF"/>
        </w:rPr>
        <w:t>, and shall not be a basis of any claim of liability of any kind or nature by any party hereto, all such claims being hereby waived</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individually by each party hereto.</w:t>
      </w:r>
    </w:p>
    <w:p>
      <w:pPr>
        <w:spacing w:after="0" w:line="157" w:lineRule="exact"/>
        <w:rPr>
          <w:rFonts w:ascii="Arial" w:cs="Arial" w:eastAsia="Arial" w:hAnsi="Arial"/>
          <w:sz w:val="19"/>
          <w:szCs w:val="19"/>
          <w:u w:val="single" w:color="auto"/>
          <w:color w:val="E36C0A"/>
        </w:rPr>
      </w:pPr>
    </w:p>
    <w:p>
      <w:pPr>
        <w:ind w:right="140" w:firstLine="1304"/>
        <w:spacing w:after="0" w:line="207" w:lineRule="auto"/>
        <w:tabs>
          <w:tab w:leader="none" w:pos="1713" w:val="left"/>
        </w:tabs>
        <w:numPr>
          <w:ilvl w:val="0"/>
          <w:numId w:val="67"/>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Unavailability of Tenor of Benchmark. At any time (including in connection with the implementation of a Benchmark Replacement), (i) if a then-current Benchmark is a term rate (including Term SOFR, EURIBOR, Term TONA, USD LIBOR or any alternative rate selected in an Early Opt-in Election), then the Administrative Agent may remove any tenor of such Benchmark that is unavailable or non-representative for such Benchmark (including any Benchmark Replacement) settings and (ii) if such tenor becomes available or representative, the Administrative Agent may reinstate any previously removed tenor for such Benchmark (including any Benchmark Replacement) settings.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-1841500</wp:posOffset>
            </wp:positionV>
            <wp:extent cx="2857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1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a</w:t>
      </w:r>
      <w:r>
        <w:rPr>
          <w:rFonts w:ascii="Arial" w:cs="Arial" w:eastAsia="Arial" w:hAnsi="Arial"/>
          <w:sz w:val="20"/>
          <w:szCs w:val="20"/>
          <w:u w:val="single" w:color="auto"/>
          <w:color w:val="0000FF"/>
        </w:rPr>
        <w:t>f</w:t>
      </w:r>
      <w:r>
        <w:rPr>
          <w:rFonts w:ascii="Arial" w:cs="Arial" w:eastAsia="Arial" w:hAnsi="Arial"/>
          <w:sz w:val="20"/>
          <w:szCs w:val="20"/>
          <w:color w:val="auto"/>
        </w:rPr>
        <w:t>)</w:t>
      </w:r>
      <w:r>
        <w:rPr>
          <w:sz w:val="20"/>
          <w:szCs w:val="20"/>
          <w:color w:val="auto"/>
        </w:rPr>
        <w:tab/>
      </w:r>
      <w:r>
        <w:rPr>
          <w:rFonts w:ascii="Arial" w:cs="Arial" w:eastAsia="Arial" w:hAnsi="Arial"/>
          <w:sz w:val="18"/>
          <w:szCs w:val="18"/>
          <w:u w:val="single" w:color="auto"/>
          <w:color w:val="0000FF"/>
        </w:rPr>
        <w:t xml:space="preserve">Certain </w:t>
      </w:r>
      <w:r>
        <w:rPr>
          <w:rFonts w:ascii="Arial" w:cs="Arial" w:eastAsia="Arial" w:hAnsi="Arial"/>
          <w:sz w:val="18"/>
          <w:szCs w:val="18"/>
          <w:u w:val="single" w:color="auto"/>
          <w:color w:val="000000"/>
        </w:rPr>
        <w:t>Defined Terms.</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As used in this Section 2.23</w:t>
      </w:r>
      <w:r>
        <w:rPr>
          <w:rFonts w:ascii="Arial" w:cs="Arial" w:eastAsia="Arial" w:hAnsi="Arial"/>
          <w:sz w:val="18"/>
          <w:szCs w:val="18"/>
          <w:u w:val="single" w:color="auto"/>
          <w:color w:val="0000FF"/>
        </w:rPr>
        <w:t xml:space="preserve"> </w:t>
      </w:r>
      <w:r>
        <w:rPr>
          <w:rFonts w:ascii="Arial" w:cs="Arial" w:eastAsia="Arial" w:hAnsi="Arial"/>
          <w:sz w:val="18"/>
          <w:szCs w:val="18"/>
          <w:color w:val="0000FF"/>
        </w:rPr>
        <w:t>and Section 1.10</w:t>
      </w:r>
      <w:r>
        <w:rPr>
          <w:rFonts w:ascii="Arial" w:cs="Arial" w:eastAsia="Arial" w:hAnsi="Arial"/>
          <w:sz w:val="18"/>
          <w:szCs w:val="18"/>
          <w:color w:val="000000"/>
        </w:rPr>
        <w:t>, the following terms have the following</w:t>
      </w:r>
    </w:p>
    <w:p>
      <w:pPr>
        <w:spacing w:after="0"/>
        <w:rPr>
          <w:sz w:val="20"/>
          <w:szCs w:val="20"/>
          <w:color w:val="auto"/>
        </w:rPr>
      </w:pPr>
      <w:r>
        <w:rPr>
          <w:rFonts w:ascii="Arial" w:cs="Arial" w:eastAsia="Arial" w:hAnsi="Arial"/>
          <w:sz w:val="20"/>
          <w:szCs w:val="20"/>
          <w:color w:val="auto"/>
        </w:rPr>
        <w:t>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-144780</wp:posOffset>
            </wp:positionV>
            <wp:extent cx="8724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spacing w:after="0" w:line="139" w:lineRule="exact"/>
        <w:rPr>
          <w:sz w:val="20"/>
          <w:szCs w:val="20"/>
          <w:color w:val="auto"/>
        </w:rPr>
      </w:pPr>
    </w:p>
    <w:p>
      <w:pPr>
        <w:ind w:right="140" w:firstLine="648"/>
        <w:spacing w:after="0" w:line="213"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Available Tenor</w:t>
      </w:r>
      <w:r>
        <w:rPr>
          <w:rFonts w:ascii="Arial" w:cs="Arial" w:eastAsia="Arial" w:hAnsi="Arial"/>
          <w:sz w:val="20"/>
          <w:szCs w:val="20"/>
          <w:u w:val="single" w:color="auto"/>
          <w:color w:val="0000FF"/>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100965</wp:posOffset>
            </wp:positionV>
            <wp:extent cx="8255" cy="7289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82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Benchmark</w:t>
      </w:r>
      <w:r>
        <w:rPr>
          <w:rFonts w:ascii="Arial" w:cs="Arial" w:eastAsia="Arial" w:hAnsi="Arial"/>
          <w:sz w:val="18"/>
          <w:szCs w:val="18"/>
          <w:u w:val="single" w:color="auto"/>
          <w:color w:val="0000FF"/>
        </w:rPr>
        <w:t xml:space="preserve">” means, initially, each Relevant Rate; </w:t>
      </w:r>
      <w:r>
        <w:rPr>
          <w:rFonts w:ascii="Arial" w:cs="Arial" w:eastAsia="Arial" w:hAnsi="Arial"/>
          <w:sz w:val="18"/>
          <w:szCs w:val="18"/>
          <w:i w:val="1"/>
          <w:iCs w:val="1"/>
          <w:u w:val="single" w:color="auto"/>
          <w:color w:val="0000FF"/>
        </w:rPr>
        <w:t>provided</w:t>
      </w:r>
      <w:r>
        <w:rPr>
          <w:rFonts w:ascii="Arial" w:cs="Arial" w:eastAsia="Arial" w:hAnsi="Arial"/>
          <w:sz w:val="18"/>
          <w:szCs w:val="18"/>
          <w:u w:val="single" w:color="auto"/>
          <w:color w:val="0000FF"/>
        </w:rPr>
        <w:t xml:space="preserve"> that if a replacement for the Benchmark has occurred pursuant to this</w:t>
      </w:r>
    </w:p>
    <w:p>
      <w:pPr>
        <w:spacing w:after="0" w:line="12" w:lineRule="exact"/>
        <w:rPr>
          <w:sz w:val="20"/>
          <w:szCs w:val="20"/>
          <w:color w:val="auto"/>
        </w:rPr>
      </w:pPr>
    </w:p>
    <w:p>
      <w:pPr>
        <w:spacing w:after="0" w:line="312" w:lineRule="auto"/>
        <w:rPr>
          <w:sz w:val="20"/>
          <w:szCs w:val="20"/>
          <w:color w:val="auto"/>
        </w:rPr>
      </w:pPr>
      <w:r>
        <w:rPr>
          <w:rFonts w:ascii="Arial" w:cs="Arial" w:eastAsia="Arial" w:hAnsi="Arial"/>
          <w:sz w:val="16"/>
          <w:szCs w:val="16"/>
          <w:u w:val="single" w:color="auto"/>
          <w:color w:val="0000FF"/>
        </w:rPr>
        <w:t>Section,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Benchmark Replacement</w:t>
      </w:r>
      <w:r>
        <w:rPr>
          <w:rFonts w:ascii="Arial" w:cs="Arial" w:eastAsia="Arial" w:hAnsi="Arial"/>
          <w:sz w:val="20"/>
          <w:szCs w:val="20"/>
          <w:u w:val="single" w:color="auto"/>
          <w:color w:val="0000FF"/>
        </w:rPr>
        <w:t>” means, for any Available Tenor: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113030</wp:posOffset>
            </wp:positionV>
            <wp:extent cx="8890" cy="728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889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right="140" w:firstLine="657"/>
        <w:spacing w:after="0" w:line="216" w:lineRule="auto"/>
        <w:tabs>
          <w:tab w:leader="none" w:pos="1750" w:val="left"/>
        </w:tabs>
        <w:numPr>
          <w:ilvl w:val="0"/>
          <w:numId w:val="68"/>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for purposes of clause (a) of this Section, for Loans denominated in U.S. Dollars or any Designated Foreign Currency set forth below, the first alternative set forth below that can be determined by the Administrative Agent for the applicable Benchmark</w:t>
      </w:r>
      <w:r>
        <w:rPr>
          <w:rFonts w:ascii="Arial" w:cs="Arial" w:eastAsia="Arial" w:hAnsi="Arial"/>
          <w:sz w:val="20"/>
          <w:szCs w:val="20"/>
          <w:i w:val="1"/>
          <w:iCs w:val="1"/>
          <w:u w:val="single" w:color="auto"/>
          <w:color w:val="0000FF"/>
        </w:rPr>
        <w:t>; provided, that</w:t>
      </w:r>
      <w:r>
        <w:rPr>
          <w:rFonts w:ascii="Arial" w:cs="Arial" w:eastAsia="Arial" w:hAnsi="Arial"/>
          <w:sz w:val="20"/>
          <w:szCs w:val="20"/>
          <w:u w:val="single" w:color="auto"/>
          <w:color w:val="0000FF"/>
        </w:rPr>
        <w:t>, with respect to any Loan denominated in any Designated Foreign Currency that is not listed below, “Benchmark Replacement” shall mean the alternative set forth in clause (2)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-63-</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00"/>
          </w:cols>
          <w:pgMar w:left="320" w:top="1405" w:right="379" w:bottom="1440" w:gutter="0" w:footer="0" w:header="0"/>
        </w:sectPr>
      </w:pPr>
    </w:p>
    <w:bookmarkStart w:id="108" w:name="page109"/>
    <w:bookmarkEnd w:id="108"/>
    <w:p>
      <w:pPr>
        <w:ind w:left="2360" w:hanging="408"/>
        <w:spacing w:after="0"/>
        <w:tabs>
          <w:tab w:leader="none" w:pos="2360" w:val="left"/>
        </w:tabs>
        <w:numPr>
          <w:ilvl w:val="0"/>
          <w:numId w:val="6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Loans denominated in U.S. Dollars,</w:t>
      </w:r>
    </w:p>
    <w:p>
      <w:pPr>
        <w:spacing w:after="0" w:line="175" w:lineRule="exact"/>
        <w:rPr>
          <w:rFonts w:ascii="Arial" w:cs="Arial" w:eastAsia="Arial" w:hAnsi="Arial"/>
          <w:sz w:val="20"/>
          <w:szCs w:val="20"/>
          <w:u w:val="single" w:color="auto"/>
          <w:color w:val="0000FF"/>
        </w:rPr>
      </w:pPr>
    </w:p>
    <w:p>
      <w:pPr>
        <w:ind w:left="1300" w:right="120" w:firstLine="1300"/>
        <w:spacing w:after="0" w:line="218" w:lineRule="auto"/>
        <w:tabs>
          <w:tab w:leader="none" w:pos="3024" w:val="left"/>
        </w:tabs>
        <w:numPr>
          <w:ilvl w:val="1"/>
          <w:numId w:val="6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sum of: (i) Term SOFR and (ii) 0.11448% (11.448 basis points) for an Available Tenor of one-month’s duration, 0.26161% (26.161 basis points) for an Available Tenor of three-months’ duration, and 0.42826% (42.826 basis points) for an Available Tenor of six-months’ duration; or</w:t>
      </w:r>
    </w:p>
    <w:p>
      <w:pPr>
        <w:spacing w:after="0" w:line="156" w:lineRule="exact"/>
        <w:rPr>
          <w:rFonts w:ascii="Arial" w:cs="Arial" w:eastAsia="Arial" w:hAnsi="Arial"/>
          <w:sz w:val="20"/>
          <w:szCs w:val="20"/>
          <w:u w:val="single" w:color="auto"/>
          <w:color w:val="0000FF"/>
        </w:rPr>
      </w:pPr>
    </w:p>
    <w:p>
      <w:pPr>
        <w:ind w:left="1300" w:right="440" w:firstLine="1300"/>
        <w:spacing w:after="0" w:line="229" w:lineRule="auto"/>
        <w:tabs>
          <w:tab w:leader="none" w:pos="3024" w:val="left"/>
        </w:tabs>
        <w:numPr>
          <w:ilvl w:val="1"/>
          <w:numId w:val="6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sum of: (i) Daily Simple SOFR and (ii) the spread adjustment for an Available Tenor of three-months’ duration (0.26161% (26.161 basis points)); and</w:t>
      </w:r>
    </w:p>
    <w:p>
      <w:pPr>
        <w:spacing w:after="0" w:line="155" w:lineRule="exact"/>
        <w:rPr>
          <w:rFonts w:ascii="Arial" w:cs="Arial" w:eastAsia="Arial" w:hAnsi="Arial"/>
          <w:sz w:val="20"/>
          <w:szCs w:val="20"/>
          <w:u w:val="single" w:color="auto"/>
          <w:color w:val="0000FF"/>
        </w:rPr>
      </w:pPr>
    </w:p>
    <w:p>
      <w:pPr>
        <w:ind w:left="1300" w:right="80" w:firstLine="652"/>
        <w:spacing w:after="0" w:line="213" w:lineRule="auto"/>
        <w:tabs>
          <w:tab w:leader="none" w:pos="2376" w:val="left"/>
        </w:tabs>
        <w:numPr>
          <w:ilvl w:val="0"/>
          <w:numId w:val="6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Loans denominated in Sterling, the sum of (i) Daily Simple SONIA and (ii) 0.0326% (3.26 basis points) for an Available Tenor of one-month’s duration, 0.0633% (6.33 basis points) for an Available Tenor of two-months’ duration, 0.1193% (11.93 basis points) for an Available Tenor of three-months’ duration or 0.2766% (27.66 basis points) for an Available Tenor of six-months’ duration;</w:t>
      </w:r>
    </w:p>
    <w:p>
      <w:pPr>
        <w:spacing w:after="0" w:line="155" w:lineRule="exact"/>
        <w:rPr>
          <w:rFonts w:ascii="Arial" w:cs="Arial" w:eastAsia="Arial" w:hAnsi="Arial"/>
          <w:sz w:val="20"/>
          <w:szCs w:val="20"/>
          <w:u w:val="single" w:color="auto"/>
          <w:color w:val="0000FF"/>
        </w:rPr>
      </w:pPr>
    </w:p>
    <w:p>
      <w:pPr>
        <w:ind w:left="1300" w:right="980" w:firstLine="652"/>
        <w:spacing w:after="0" w:line="229" w:lineRule="auto"/>
        <w:tabs>
          <w:tab w:leader="none" w:pos="2365" w:val="left"/>
        </w:tabs>
        <w:numPr>
          <w:ilvl w:val="0"/>
          <w:numId w:val="6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Loans denominated in Euro, the sum of (i) EURIBOR and (ii) the related Benchmark Replacement Adjustment;</w:t>
      </w:r>
    </w:p>
    <w:p>
      <w:pPr>
        <w:spacing w:after="0" w:line="155" w:lineRule="exact"/>
        <w:rPr>
          <w:rFonts w:ascii="Arial" w:cs="Arial" w:eastAsia="Arial" w:hAnsi="Arial"/>
          <w:sz w:val="20"/>
          <w:szCs w:val="20"/>
          <w:u w:val="single" w:color="auto"/>
          <w:color w:val="0000FF"/>
        </w:rPr>
      </w:pPr>
    </w:p>
    <w:p>
      <w:pPr>
        <w:ind w:left="1300" w:right="380" w:firstLine="652"/>
        <w:spacing w:after="0" w:line="229" w:lineRule="auto"/>
        <w:tabs>
          <w:tab w:leader="none" w:pos="2376" w:val="left"/>
        </w:tabs>
        <w:numPr>
          <w:ilvl w:val="0"/>
          <w:numId w:val="6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Loans denominated in Swiss Francs, the sum of (i) Daily Simple SARON and (ii) the related Benchmark Replacement Adjustment; and</w:t>
      </w:r>
    </w:p>
    <w:p>
      <w:pPr>
        <w:spacing w:after="0" w:line="155" w:lineRule="exact"/>
        <w:rPr>
          <w:rFonts w:ascii="Arial" w:cs="Arial" w:eastAsia="Arial" w:hAnsi="Arial"/>
          <w:sz w:val="20"/>
          <w:szCs w:val="20"/>
          <w:u w:val="single" w:color="auto"/>
          <w:color w:val="0000FF"/>
        </w:rPr>
      </w:pPr>
    </w:p>
    <w:p>
      <w:pPr>
        <w:ind w:left="2360" w:hanging="408"/>
        <w:spacing w:after="0"/>
        <w:tabs>
          <w:tab w:leader="none" w:pos="2360" w:val="left"/>
        </w:tabs>
        <w:numPr>
          <w:ilvl w:val="0"/>
          <w:numId w:val="6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in the case of any Loan denominated in Yen,</w:t>
      </w:r>
    </w:p>
    <w:p>
      <w:pPr>
        <w:spacing w:after="0" w:line="175" w:lineRule="exact"/>
        <w:rPr>
          <w:rFonts w:ascii="Arial" w:cs="Arial" w:eastAsia="Arial" w:hAnsi="Arial"/>
          <w:sz w:val="20"/>
          <w:szCs w:val="20"/>
          <w:u w:val="single" w:color="auto"/>
          <w:color w:val="0000FF"/>
        </w:rPr>
      </w:pPr>
    </w:p>
    <w:p>
      <w:pPr>
        <w:ind w:left="3020" w:hanging="420"/>
        <w:spacing w:after="0"/>
        <w:tabs>
          <w:tab w:leader="none" w:pos="3020" w:val="left"/>
        </w:tabs>
        <w:numPr>
          <w:ilvl w:val="1"/>
          <w:numId w:val="6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sum of (i) Term TONA and (ii) the related Benchmark Replacement Adjustment; or</w:t>
      </w:r>
    </w:p>
    <w:p>
      <w:pPr>
        <w:spacing w:after="0" w:line="175" w:lineRule="exact"/>
        <w:rPr>
          <w:rFonts w:ascii="Arial" w:cs="Arial" w:eastAsia="Arial" w:hAnsi="Arial"/>
          <w:sz w:val="20"/>
          <w:szCs w:val="20"/>
          <w:u w:val="single" w:color="auto"/>
          <w:color w:val="0000FF"/>
        </w:rPr>
      </w:pPr>
    </w:p>
    <w:p>
      <w:pPr>
        <w:ind w:left="3020" w:hanging="420"/>
        <w:spacing w:after="0"/>
        <w:tabs>
          <w:tab w:leader="none" w:pos="3020" w:val="left"/>
        </w:tabs>
        <w:numPr>
          <w:ilvl w:val="1"/>
          <w:numId w:val="6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sum of Daily Simple TONA and (ii) the related Benchmark Replacement Adjustment;</w:t>
      </w:r>
    </w:p>
    <w:p>
      <w:pPr>
        <w:spacing w:after="0" w:line="175" w:lineRule="exact"/>
        <w:rPr>
          <w:sz w:val="20"/>
          <w:szCs w:val="20"/>
          <w:color w:val="auto"/>
        </w:rPr>
      </w:pPr>
    </w:p>
    <w:p>
      <w:pPr>
        <w:ind w:left="1300" w:right="120" w:firstLine="648"/>
        <w:spacing w:after="0" w:line="218" w:lineRule="auto"/>
        <w:rPr>
          <w:sz w:val="20"/>
          <w:szCs w:val="20"/>
          <w:color w:val="auto"/>
        </w:rPr>
      </w:pPr>
      <w:r>
        <w:rPr>
          <w:rFonts w:ascii="Arial" w:cs="Arial" w:eastAsia="Arial" w:hAnsi="Arial"/>
          <w:sz w:val="20"/>
          <w:szCs w:val="20"/>
          <w:u w:val="single" w:color="auto"/>
          <w:color w:val="0000FF"/>
        </w:rPr>
        <w:t>provided, however, that, notwithstanding the foregoing clauses (a) through (e), if an Early Opt-in Election has been made, the Benchmark Replacement will be the sum of the benchmark rate selected in connection with such Early Opt-in Election plus the related Benchmark Replacement Adjustment; or</w:t>
      </w:r>
    </w:p>
    <w:p>
      <w:pPr>
        <w:spacing w:after="0" w:line="156" w:lineRule="exact"/>
        <w:rPr>
          <w:sz w:val="20"/>
          <w:szCs w:val="20"/>
          <w:color w:val="auto"/>
        </w:rPr>
      </w:pPr>
    </w:p>
    <w:p>
      <w:pPr>
        <w:ind w:left="660" w:right="20" w:firstLine="648"/>
        <w:spacing w:after="0" w:line="227"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Benchmark Replacement</w:t>
      </w:r>
      <w:r>
        <w:rPr>
          <w:rFonts w:ascii="Arial" w:cs="Arial" w:eastAsia="Arial" w:hAnsi="Arial"/>
          <w:sz w:val="18"/>
          <w:szCs w:val="18"/>
          <w:color w:val="FF0000"/>
          <w:strike w:val="1"/>
        </w:rPr>
        <w:t>” means</w:t>
      </w:r>
      <w:r>
        <w:rPr>
          <w:rFonts w:ascii="Arial" w:cs="Arial" w:eastAsia="Arial" w:hAnsi="Arial"/>
          <w:sz w:val="18"/>
          <w:szCs w:val="18"/>
          <w:u w:val="single" w:color="auto"/>
          <w:color w:val="0000FF"/>
          <w:strike w:val="1"/>
        </w:rPr>
        <w:t>(2) or purposes of clause (b) of this Section and for any other Designated Foreign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Currency not listed above,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the sum of: (a) the alternate benchmark rate</w:t>
      </w:r>
      <w:r>
        <w:rPr>
          <w:rFonts w:ascii="Arial" w:cs="Arial" w:eastAsia="Arial" w:hAnsi="Arial"/>
          <w:sz w:val="18"/>
          <w:szCs w:val="18"/>
          <w:color w:val="0000FF"/>
          <w:strike w:val="1"/>
        </w:rPr>
        <w:t xml:space="preserve"> </w:t>
      </w:r>
      <w:r>
        <w:rPr>
          <w:rFonts w:ascii="Arial" w:cs="Arial" w:eastAsia="Arial" w:hAnsi="Arial"/>
          <w:sz w:val="18"/>
          <w:szCs w:val="18"/>
          <w:color w:val="FF0000"/>
          <w:strike w:val="1"/>
        </w:rPr>
        <w:t>(which may include Term SOFR) that has been</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selected by</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the Administrative Agent and the Company </w:t>
      </w:r>
      <w:r>
        <w:rPr>
          <w:rFonts w:ascii="Arial" w:cs="Arial" w:eastAsia="Arial" w:hAnsi="Arial"/>
          <w:sz w:val="18"/>
          <w:szCs w:val="18"/>
          <w:u w:val="single" w:color="auto"/>
          <w:color w:val="0000FF"/>
          <w:strike w:val="1"/>
        </w:rPr>
        <w:t>as the replacement for the relevant then-current Benchmark for the applicable</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Corresponding Tenor</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giving due consideration to (i) any selection or recommendation of a replacement</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benchmark</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rate or the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mechanism for determining such a rate by the Relevant Governmental Body or (ii) any evolving or then-prevailing market convention for determining a </w:t>
      </w:r>
      <w:r>
        <w:rPr>
          <w:rFonts w:ascii="Arial" w:cs="Arial" w:eastAsia="Arial" w:hAnsi="Arial"/>
          <w:sz w:val="18"/>
          <w:szCs w:val="18"/>
          <w:u w:val="single" w:color="auto"/>
          <w:color w:val="0000FF"/>
          <w:strike w:val="1"/>
        </w:rPr>
        <w:t>benchmark</w:t>
      </w:r>
      <w:r>
        <w:rPr>
          <w:rFonts w:ascii="Arial" w:cs="Arial" w:eastAsia="Arial" w:hAnsi="Arial"/>
          <w:sz w:val="18"/>
          <w:szCs w:val="18"/>
          <w:color w:val="000000"/>
          <w:strike w:val="1"/>
        </w:rPr>
        <w:t xml:space="preserve"> rate </w:t>
      </w:r>
      <w:r>
        <w:rPr>
          <w:rFonts w:ascii="Arial" w:cs="Arial" w:eastAsia="Arial" w:hAnsi="Arial"/>
          <w:sz w:val="18"/>
          <w:szCs w:val="18"/>
          <w:color w:val="FF0000"/>
          <w:strike w:val="1"/>
        </w:rPr>
        <w:t>of interest</w:t>
      </w:r>
      <w:r>
        <w:rPr>
          <w:rFonts w:ascii="Arial" w:cs="Arial" w:eastAsia="Arial" w:hAnsi="Arial"/>
          <w:sz w:val="18"/>
          <w:szCs w:val="18"/>
          <w:color w:val="000000"/>
          <w:strike w:val="1"/>
        </w:rPr>
        <w:t xml:space="preserve"> as a replacement </w:t>
      </w:r>
      <w:r>
        <w:rPr>
          <w:rFonts w:ascii="Arial" w:cs="Arial" w:eastAsia="Arial" w:hAnsi="Arial"/>
          <w:sz w:val="18"/>
          <w:szCs w:val="18"/>
          <w:color w:val="FF0000"/>
          <w:strike w:val="1"/>
        </w:rPr>
        <w:t>to the Adjusted LIBO Rate for U.S. dollar- denominated</w:t>
      </w:r>
      <w:r>
        <w:rPr>
          <w:rFonts w:ascii="Arial" w:cs="Arial" w:eastAsia="Arial" w:hAnsi="Arial"/>
          <w:sz w:val="18"/>
          <w:szCs w:val="18"/>
          <w:u w:val="single" w:color="auto"/>
          <w:color w:val="0000FF"/>
          <w:strike w:val="1"/>
        </w:rPr>
        <w:t>for</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the relevant then-current Benchmark for syndicated credit facilities denominated in the applicable Designated Foreign Currency</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at</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such time and (b) the </w:t>
      </w:r>
      <w:r>
        <w:rPr>
          <w:rFonts w:ascii="Arial" w:cs="Arial" w:eastAsia="Arial" w:hAnsi="Arial"/>
          <w:sz w:val="18"/>
          <w:szCs w:val="18"/>
          <w:u w:val="single" w:color="auto"/>
          <w:color w:val="0000FF"/>
          <w:strike w:val="1"/>
        </w:rPr>
        <w:t>related</w:t>
      </w:r>
      <w:r>
        <w:rPr>
          <w:rFonts w:ascii="Arial" w:cs="Arial" w:eastAsia="Arial" w:hAnsi="Arial"/>
          <w:sz w:val="18"/>
          <w:szCs w:val="18"/>
          <w:color w:val="000000"/>
          <w:strike w:val="1"/>
        </w:rPr>
        <w:t xml:space="preserve"> Benchmark Replacement Adjustment; </w:t>
      </w:r>
      <w:r>
        <w:rPr>
          <w:rFonts w:ascii="Arial" w:cs="Arial" w:eastAsia="Arial" w:hAnsi="Arial"/>
          <w:sz w:val="18"/>
          <w:szCs w:val="18"/>
          <w:i w:val="1"/>
          <w:iCs w:val="1"/>
          <w:color w:val="E36C0A"/>
          <w:strike w:val="1"/>
        </w:rPr>
        <w:t>provided</w:t>
      </w:r>
      <w:r>
        <w:rPr>
          <w:rFonts w:ascii="Arial" w:cs="Arial" w:eastAsia="Arial" w:hAnsi="Arial"/>
          <w:sz w:val="18"/>
          <w:szCs w:val="18"/>
          <w:color w:val="000000"/>
          <w:strike w:val="1"/>
        </w:rPr>
        <w:t xml:space="preserve"> </w:t>
      </w:r>
      <w:r>
        <w:rPr>
          <w:rFonts w:ascii="Arial" w:cs="Arial" w:eastAsia="Arial" w:hAnsi="Arial"/>
          <w:sz w:val="18"/>
          <w:szCs w:val="18"/>
          <w:color w:val="E36C0A"/>
          <w:strike w:val="1"/>
        </w:rPr>
        <w:t>that, if the Benchmark Replacement as</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so determined</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would be less than zero</w:t>
      </w:r>
      <w:r>
        <w:rPr>
          <w:rFonts w:ascii="Arial" w:cs="Arial" w:eastAsia="Arial" w:hAnsi="Arial"/>
          <w:sz w:val="18"/>
          <w:szCs w:val="18"/>
          <w:color w:val="008000"/>
          <w:strike w:val="1"/>
        </w:rPr>
        <w:t>, the Benchmark Replacement will be deemed to be</w:t>
      </w:r>
      <w:r>
        <w:rPr>
          <w:rFonts w:ascii="Arial" w:cs="Arial" w:eastAsia="Arial" w:hAnsi="Arial"/>
          <w:sz w:val="18"/>
          <w:szCs w:val="18"/>
          <w:color w:val="FF0000"/>
          <w:strike w:val="1"/>
        </w:rPr>
        <w:t xml:space="preserve"> zero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-747395</wp:posOffset>
            </wp:positionV>
            <wp:extent cx="311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6251575</wp:posOffset>
            </wp:positionH>
            <wp:positionV relativeFrom="paragraph">
              <wp:posOffset>-190500</wp:posOffset>
            </wp:positionV>
            <wp:extent cx="311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35" w:lineRule="exact"/>
        <w:rPr>
          <w:sz w:val="20"/>
          <w:szCs w:val="20"/>
          <w:color w:val="auto"/>
        </w:rPr>
      </w:pPr>
    </w:p>
    <w:p>
      <w:pPr>
        <w:ind w:left="660" w:right="400"/>
        <w:spacing w:after="0" w:line="269" w:lineRule="auto"/>
        <w:rPr>
          <w:sz w:val="20"/>
          <w:szCs w:val="20"/>
          <w:color w:val="auto"/>
        </w:rPr>
      </w:pPr>
      <w:r>
        <w:rPr>
          <w:rFonts w:ascii="Arial" w:cs="Arial" w:eastAsia="Arial" w:hAnsi="Arial"/>
          <w:sz w:val="18"/>
          <w:szCs w:val="18"/>
          <w:i w:val="1"/>
          <w:iCs w:val="1"/>
          <w:u w:val="single" w:color="auto"/>
          <w:color w:val="008000"/>
        </w:rPr>
        <w:t xml:space="preserve">provided </w:t>
      </w:r>
      <w:r>
        <w:rPr>
          <w:rFonts w:ascii="Arial" w:cs="Arial" w:eastAsia="Arial" w:hAnsi="Arial"/>
          <w:sz w:val="18"/>
          <w:szCs w:val="18"/>
          <w:u w:val="single" w:color="auto"/>
          <w:color w:val="008000"/>
        </w:rPr>
        <w:t>that, if the Benchmark Replacement as</w:t>
      </w:r>
      <w:r>
        <w:rPr>
          <w:rFonts w:ascii="Arial" w:cs="Arial" w:eastAsia="Arial" w:hAnsi="Arial"/>
          <w:sz w:val="18"/>
          <w:szCs w:val="18"/>
          <w:i w:val="1"/>
          <w:iCs w:val="1"/>
          <w:u w:val="single" w:color="auto"/>
          <w:color w:val="008000"/>
        </w:rPr>
        <w:t xml:space="preserve"> </w:t>
      </w:r>
      <w:r>
        <w:rPr>
          <w:rFonts w:ascii="Arial" w:cs="Arial" w:eastAsia="Arial" w:hAnsi="Arial"/>
          <w:sz w:val="18"/>
          <w:szCs w:val="18"/>
          <w:u w:val="single" w:color="auto"/>
          <w:color w:val="0000FF"/>
        </w:rPr>
        <w:t>determined pursuant to clause (1) or (2) above would be less than the Floor</w:t>
      </w:r>
      <w:r>
        <w:rPr>
          <w:rFonts w:ascii="Arial" w:cs="Arial" w:eastAsia="Arial" w:hAnsi="Arial"/>
          <w:sz w:val="18"/>
          <w:szCs w:val="18"/>
          <w:u w:val="single" w:color="auto"/>
          <w:color w:val="008000"/>
        </w:rPr>
        <w:t>, the</w:t>
      </w:r>
      <w:r>
        <w:rPr>
          <w:rFonts w:ascii="Arial" w:cs="Arial" w:eastAsia="Arial" w:hAnsi="Arial"/>
          <w:sz w:val="18"/>
          <w:szCs w:val="18"/>
          <w:i w:val="1"/>
          <w:iCs w:val="1"/>
          <w:u w:val="single" w:color="auto"/>
          <w:color w:val="008000"/>
        </w:rPr>
        <w:t xml:space="preserve"> </w:t>
      </w:r>
      <w:r>
        <w:rPr>
          <w:rFonts w:ascii="Arial" w:cs="Arial" w:eastAsia="Arial" w:hAnsi="Arial"/>
          <w:sz w:val="18"/>
          <w:szCs w:val="18"/>
          <w:u w:val="single" w:color="auto"/>
          <w:color w:val="008000"/>
        </w:rPr>
        <w:t xml:space="preserve">Benchmark Replacement will be deemed to be </w:t>
      </w:r>
      <w:r>
        <w:rPr>
          <w:rFonts w:ascii="Arial" w:cs="Arial" w:eastAsia="Arial" w:hAnsi="Arial"/>
          <w:sz w:val="18"/>
          <w:szCs w:val="18"/>
          <w:u w:val="single" w:color="auto"/>
          <w:color w:val="0000FF"/>
        </w:rPr>
        <w:t>the Floor for all purposes of this Agreement and the other Loan Documents.</w:t>
      </w:r>
    </w:p>
    <w:p>
      <w:pPr>
        <w:spacing w:after="0" w:line="130" w:lineRule="exact"/>
        <w:rPr>
          <w:sz w:val="20"/>
          <w:szCs w:val="20"/>
          <w:color w:val="auto"/>
        </w:rPr>
      </w:pPr>
    </w:p>
    <w:p>
      <w:pPr>
        <w:ind w:firstLine="648"/>
        <w:spacing w:after="0" w:line="333" w:lineRule="auto"/>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i w:val="1"/>
          <w:iCs w:val="1"/>
          <w:u w:val="single" w:color="auto"/>
          <w:color w:val="0000FF"/>
        </w:rPr>
        <w:t>Benchmark Replacement</w:t>
      </w:r>
      <w:r>
        <w:rPr>
          <w:rFonts w:ascii="Arial" w:cs="Arial" w:eastAsia="Arial" w:hAnsi="Arial"/>
          <w:sz w:val="16"/>
          <w:szCs w:val="16"/>
          <w:u w:val="single" w:color="auto"/>
          <w:color w:val="0000FF"/>
        </w:rPr>
        <w:t xml:space="preserve"> </w:t>
      </w:r>
      <w:r>
        <w:rPr>
          <w:rFonts w:ascii="Arial" w:cs="Arial" w:eastAsia="Arial" w:hAnsi="Arial"/>
          <w:sz w:val="16"/>
          <w:szCs w:val="16"/>
          <w:b w:val="1"/>
          <w:bCs w:val="1"/>
          <w:i w:val="1"/>
          <w:iCs w:val="1"/>
          <w:u w:val="single" w:color="auto"/>
          <w:color w:val="008000"/>
        </w:rPr>
        <w:t>Adjustment</w:t>
      </w:r>
      <w:r>
        <w:rPr>
          <w:rFonts w:ascii="Arial" w:cs="Arial" w:eastAsia="Arial" w:hAnsi="Arial"/>
          <w:sz w:val="16"/>
          <w:szCs w:val="16"/>
          <w:u w:val="single" w:color="auto"/>
          <w:color w:val="008000"/>
        </w:rPr>
        <w:t>” means, with respect to any replacement of</w:t>
      </w:r>
      <w:r>
        <w:rPr>
          <w:rFonts w:ascii="Arial" w:cs="Arial" w:eastAsia="Arial" w:hAnsi="Arial"/>
          <w:sz w:val="16"/>
          <w:szCs w:val="16"/>
          <w:u w:val="single" w:color="auto"/>
          <w:color w:val="0000FF"/>
        </w:rPr>
        <w:t xml:space="preserve"> a then-current Benchmark </w:t>
      </w:r>
      <w:r>
        <w:rPr>
          <w:rFonts w:ascii="Arial" w:cs="Arial" w:eastAsia="Arial" w:hAnsi="Arial"/>
          <w:sz w:val="16"/>
          <w:szCs w:val="16"/>
          <w:u w:val="single" w:color="auto"/>
          <w:color w:val="008000"/>
        </w:rPr>
        <w:t>with an Unadjusted</w:t>
      </w:r>
      <w:r>
        <w:rPr>
          <w:rFonts w:ascii="Arial" w:cs="Arial" w:eastAsia="Arial" w:hAnsi="Arial"/>
          <w:sz w:val="16"/>
          <w:szCs w:val="16"/>
          <w:u w:val="single" w:color="auto"/>
          <w:color w:val="0000FF"/>
        </w:rPr>
        <w:t xml:space="preserve"> </w:t>
      </w:r>
      <w:r>
        <w:rPr>
          <w:rFonts w:ascii="Arial" w:cs="Arial" w:eastAsia="Arial" w:hAnsi="Arial"/>
          <w:sz w:val="16"/>
          <w:szCs w:val="16"/>
          <w:u w:val="single" w:color="auto"/>
          <w:color w:val="008000"/>
        </w:rPr>
        <w:t xml:space="preserve">Benchmark Replacement for </w:t>
      </w:r>
      <w:r>
        <w:rPr>
          <w:rFonts w:ascii="Arial" w:cs="Arial" w:eastAsia="Arial" w:hAnsi="Arial"/>
          <w:sz w:val="16"/>
          <w:szCs w:val="16"/>
          <w:u w:val="single" w:color="auto"/>
          <w:color w:val="0000FF"/>
        </w:rPr>
        <w:t>any applicable Interest Period and Available Tenor for any setting of such Unadjusted Benchmark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-64-</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00"/>
          </w:cols>
          <w:pgMar w:left="320" w:top="1405" w:right="379" w:bottom="1440" w:gutter="0" w:footer="0" w:header="0"/>
        </w:sectPr>
      </w:pPr>
    </w:p>
    <w:bookmarkStart w:id="109" w:name="page110"/>
    <w:bookmarkEnd w:id="109"/>
    <w:p>
      <w:pPr>
        <w:ind w:left="660" w:right="560" w:firstLine="644"/>
        <w:spacing w:after="0" w:line="242" w:lineRule="auto"/>
        <w:tabs>
          <w:tab w:leader="none" w:pos="1736" w:val="left"/>
        </w:tabs>
        <w:numPr>
          <w:ilvl w:val="0"/>
          <w:numId w:val="70"/>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purposes of sub-clauses (c), (d) and (e) of clause (1) of the definition of “Benchmark Replacement</w:t>
      </w:r>
      <w:r>
        <w:rPr>
          <w:rFonts w:ascii="Arial" w:cs="Arial" w:eastAsia="Arial" w:hAnsi="Arial"/>
          <w:sz w:val="19"/>
          <w:szCs w:val="19"/>
          <w:b w:val="1"/>
          <w:bCs w:val="1"/>
          <w:i w:val="1"/>
          <w:iCs w:val="1"/>
          <w:u w:val="single" w:color="auto"/>
          <w:color w:val="0000FF"/>
        </w:rPr>
        <w:t>,</w:t>
      </w:r>
      <w:r>
        <w:rPr>
          <w:rFonts w:ascii="Arial" w:cs="Arial" w:eastAsia="Arial" w:hAnsi="Arial"/>
          <w:sz w:val="19"/>
          <w:szCs w:val="19"/>
          <w:u w:val="single" w:color="auto"/>
          <w:color w:val="0000FF"/>
        </w:rPr>
        <w:t>” the first alternative set forth in the order below that can be determined by the Administrative Agent:</w:t>
      </w:r>
    </w:p>
    <w:p>
      <w:pPr>
        <w:spacing w:after="0" w:line="153" w:lineRule="exact"/>
        <w:rPr>
          <w:rFonts w:ascii="Arial" w:cs="Arial" w:eastAsia="Arial" w:hAnsi="Arial"/>
          <w:sz w:val="19"/>
          <w:szCs w:val="19"/>
          <w:u w:val="single" w:color="auto"/>
          <w:color w:val="0000FF"/>
        </w:rPr>
      </w:pPr>
    </w:p>
    <w:p>
      <w:pPr>
        <w:jc w:val="both"/>
        <w:ind w:left="1300" w:right="60" w:firstLine="652"/>
        <w:spacing w:after="0" w:line="224" w:lineRule="auto"/>
        <w:tabs>
          <w:tab w:leader="none" w:pos="2365" w:val="left"/>
        </w:tabs>
        <w:numPr>
          <w:ilvl w:val="1"/>
          <w:numId w:val="70"/>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56" w:lineRule="exact"/>
        <w:rPr>
          <w:rFonts w:ascii="Arial" w:cs="Arial" w:eastAsia="Arial" w:hAnsi="Arial"/>
          <w:sz w:val="19"/>
          <w:szCs w:val="19"/>
          <w:u w:val="single" w:color="auto"/>
          <w:color w:val="0000FF"/>
        </w:rPr>
      </w:pPr>
    </w:p>
    <w:p>
      <w:pPr>
        <w:ind w:left="1300" w:right="60" w:firstLine="652"/>
        <w:spacing w:after="0" w:line="213" w:lineRule="auto"/>
        <w:tabs>
          <w:tab w:leader="none" w:pos="2376" w:val="left"/>
        </w:tabs>
        <w:numPr>
          <w:ilvl w:val="1"/>
          <w:numId w:val="70"/>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55" w:lineRule="exact"/>
        <w:rPr>
          <w:rFonts w:ascii="Arial" w:cs="Arial" w:eastAsia="Arial" w:hAnsi="Arial"/>
          <w:sz w:val="20"/>
          <w:szCs w:val="20"/>
          <w:u w:val="single" w:color="auto"/>
          <w:color w:val="0000FF"/>
        </w:rPr>
      </w:pPr>
    </w:p>
    <w:p>
      <w:pPr>
        <w:ind w:left="660" w:right="60" w:firstLine="644"/>
        <w:spacing w:after="0" w:line="226" w:lineRule="auto"/>
        <w:tabs>
          <w:tab w:leader="none" w:pos="1736" w:val="left"/>
        </w:tabs>
        <w:numPr>
          <w:ilvl w:val="0"/>
          <w:numId w:val="7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for purposes of any Early Opt-in Election and for purposes of clause (2) of the definition of</w:t>
      </w:r>
      <w:r>
        <w:rPr>
          <w:rFonts w:ascii="Arial" w:cs="Arial" w:eastAsia="Arial" w:hAnsi="Arial"/>
          <w:sz w:val="18"/>
          <w:szCs w:val="18"/>
          <w:color w:val="0000FF"/>
        </w:rPr>
        <w:t xml:space="preserve"> </w:t>
      </w:r>
      <w:r>
        <w:rPr>
          <w:rFonts w:ascii="Arial" w:cs="Arial" w:eastAsia="Arial" w:hAnsi="Arial"/>
          <w:sz w:val="18"/>
          <w:szCs w:val="18"/>
          <w:color w:val="000000"/>
        </w:rPr>
        <w:t>“Benchmark Replacement</w:t>
      </w:r>
      <w:r>
        <w:rPr>
          <w:rFonts w:ascii="Arial" w:cs="Arial" w:eastAsia="Arial" w:hAnsi="Arial"/>
          <w:sz w:val="18"/>
          <w:szCs w:val="18"/>
          <w:color w:val="0000FF"/>
        </w:rPr>
        <w:t xml:space="preserve"> </w:t>
      </w:r>
      <w:r>
        <w:rPr>
          <w:rFonts w:ascii="Arial" w:cs="Arial" w:eastAsia="Arial" w:hAnsi="Arial"/>
          <w:sz w:val="18"/>
          <w:szCs w:val="18"/>
          <w:b w:val="1"/>
          <w:bCs w:val="1"/>
          <w:i w:val="1"/>
          <w:iCs w:val="1"/>
          <w:color w:val="E36C0A"/>
          <w:strike w:val="1"/>
        </w:rPr>
        <w:t>Adjustment</w:t>
      </w:r>
      <w:r>
        <w:rPr>
          <w:rFonts w:ascii="Arial" w:cs="Arial" w:eastAsia="Arial" w:hAnsi="Arial"/>
          <w:sz w:val="18"/>
          <w:szCs w:val="18"/>
          <w:color w:val="E36C0A"/>
          <w:strike w:val="1"/>
        </w:rPr>
        <w:t>” means, with respect to any replacement of</w:t>
      </w:r>
      <w:r>
        <w:rPr>
          <w:rFonts w:ascii="Arial" w:cs="Arial" w:eastAsia="Arial" w:hAnsi="Arial"/>
          <w:sz w:val="18"/>
          <w:szCs w:val="18"/>
          <w:b w:val="1"/>
          <w:bCs w:val="1"/>
          <w:i w:val="1"/>
          <w:iCs w:val="1"/>
          <w:color w:val="E36C0A"/>
          <w:strike w:val="1"/>
        </w:rPr>
        <w:t xml:space="preserve"> </w:t>
      </w:r>
      <w:r>
        <w:rPr>
          <w:rFonts w:ascii="Arial" w:cs="Arial" w:eastAsia="Arial" w:hAnsi="Arial"/>
          <w:sz w:val="18"/>
          <w:szCs w:val="18"/>
          <w:color w:val="FF0000"/>
          <w:strike w:val="1"/>
        </w:rPr>
        <w:t>the Adjusted LIBO Rate</w:t>
      </w:r>
      <w:r>
        <w:rPr>
          <w:rFonts w:ascii="Arial" w:cs="Arial" w:eastAsia="Arial" w:hAnsi="Arial"/>
          <w:sz w:val="18"/>
          <w:szCs w:val="18"/>
          <w:b w:val="1"/>
          <w:bCs w:val="1"/>
          <w:i w:val="1"/>
          <w:iCs w:val="1"/>
          <w:color w:val="E36C0A"/>
          <w:strike w:val="1"/>
        </w:rPr>
        <w:t xml:space="preserve"> </w:t>
      </w:r>
      <w:r>
        <w:rPr>
          <w:rFonts w:ascii="Arial" w:cs="Arial" w:eastAsia="Arial" w:hAnsi="Arial"/>
          <w:sz w:val="18"/>
          <w:szCs w:val="18"/>
          <w:color w:val="E36C0A"/>
          <w:strike w:val="1"/>
        </w:rPr>
        <w:t>with an Unadjusted Benchmark Replacement for</w:t>
      </w:r>
      <w:r>
        <w:rPr>
          <w:rFonts w:ascii="Arial" w:cs="Arial" w:eastAsia="Arial" w:hAnsi="Arial"/>
          <w:sz w:val="18"/>
          <w:szCs w:val="18"/>
          <w:b w:val="1"/>
          <w:bCs w:val="1"/>
          <w:i w:val="1"/>
          <w:iCs w:val="1"/>
          <w:color w:val="E36C0A"/>
          <w:strike w:val="1"/>
        </w:rPr>
        <w:t xml:space="preserve"> </w:t>
      </w:r>
      <w:r>
        <w:rPr>
          <w:rFonts w:ascii="Arial" w:cs="Arial" w:eastAsia="Arial" w:hAnsi="Arial"/>
          <w:sz w:val="18"/>
          <w:szCs w:val="18"/>
          <w:color w:val="FF0000"/>
          <w:strike w:val="1"/>
        </w:rPr>
        <w:t>each applicable Interest Period,</w:t>
      </w:r>
      <w:r>
        <w:rPr>
          <w:rFonts w:ascii="Arial" w:cs="Arial" w:eastAsia="Arial" w:hAnsi="Arial"/>
          <w:sz w:val="18"/>
          <w:szCs w:val="18"/>
          <w:u w:val="single" w:color="auto"/>
          <w:color w:val="0000FF"/>
          <w:strike w:val="1"/>
        </w:rPr>
        <w: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the spread adjustment, or method for calculating or determining such spread adjustment</w:t>
      </w:r>
      <w:r>
        <w:rPr>
          <w:rFonts w:ascii="Arial" w:cs="Arial" w:eastAsia="Arial" w:hAnsi="Arial"/>
          <w:sz w:val="18"/>
          <w:szCs w:val="18"/>
          <w:u w:val="single" w:color="auto"/>
          <w:color w:val="0000FF"/>
          <w:strike w:val="1"/>
        </w:rPr>
        <w: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(which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may be a positive or negative value or zero) that has been selected by the Administrative Agent and the Company </w:t>
      </w:r>
      <w:r>
        <w:rPr>
          <w:rFonts w:ascii="Arial" w:cs="Arial" w:eastAsia="Arial" w:hAnsi="Arial"/>
          <w:sz w:val="18"/>
          <w:szCs w:val="18"/>
          <w:u w:val="single" w:color="auto"/>
          <w:color w:val="0000FF"/>
          <w:strike w:val="1"/>
        </w:rPr>
        <w:t>for the applicable</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Corresponding Tenor</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giving due consideration to (i) any selection or recommendation of a spread adjustment, or method for</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calculating or determining such spread adjustment, for the replacement of </w:t>
      </w:r>
      <w:r>
        <w:rPr>
          <w:rFonts w:ascii="Arial" w:cs="Arial" w:eastAsia="Arial" w:hAnsi="Arial"/>
          <w:sz w:val="18"/>
          <w:szCs w:val="18"/>
          <w:color w:val="FF0000"/>
          <w:strike w:val="1"/>
        </w:rPr>
        <w:t>Adjusted LIBO Rate</w:t>
      </w:r>
      <w:r>
        <w:rPr>
          <w:rFonts w:ascii="Arial" w:cs="Arial" w:eastAsia="Arial" w:hAnsi="Arial"/>
          <w:sz w:val="18"/>
          <w:szCs w:val="18"/>
          <w:u w:val="single" w:color="auto"/>
          <w:color w:val="0000FF"/>
          <w:strike w:val="1"/>
        </w:rPr>
        <w:t>such Benchmark</w:t>
      </w:r>
      <w:r>
        <w:rPr>
          <w:rFonts w:ascii="Arial" w:cs="Arial" w:eastAsia="Arial" w:hAnsi="Arial"/>
          <w:sz w:val="18"/>
          <w:szCs w:val="18"/>
          <w:color w:val="000000"/>
          <w:strike w:val="1"/>
        </w:rPr>
        <w:t xml:space="preserve"> with the applicable Unadjusted Benchmark Replacement by the Relevant Governmental Body </w:t>
      </w:r>
      <w:r>
        <w:rPr>
          <w:rFonts w:ascii="Arial" w:cs="Arial" w:eastAsia="Arial" w:hAnsi="Arial"/>
          <w:sz w:val="18"/>
          <w:szCs w:val="18"/>
          <w:u w:val="single" w:color="auto"/>
          <w:color w:val="0000FF"/>
          <w:strike w:val="1"/>
        </w:rPr>
        <w:t>and/</w:t>
      </w:r>
      <w:r>
        <w:rPr>
          <w:rFonts w:ascii="Arial" w:cs="Arial" w:eastAsia="Arial" w:hAnsi="Arial"/>
          <w:sz w:val="18"/>
          <w:szCs w:val="18"/>
          <w:color w:val="000000"/>
          <w:strike w:val="1"/>
        </w:rPr>
        <w:t xml:space="preserve">or (ii) any evolving or then-prevailing market convention for determining a spread adjustment, or method for calculating or determining such spread adjustment, for the replacement of </w:t>
      </w:r>
      <w:r>
        <w:rPr>
          <w:rFonts w:ascii="Arial" w:cs="Arial" w:eastAsia="Arial" w:hAnsi="Arial"/>
          <w:sz w:val="18"/>
          <w:szCs w:val="18"/>
          <w:color w:val="FF0000"/>
          <w:strike w:val="1"/>
        </w:rPr>
        <w:t>Adjusted LIBO Rate</w:t>
      </w:r>
      <w:r>
        <w:rPr>
          <w:rFonts w:ascii="Arial" w:cs="Arial" w:eastAsia="Arial" w:hAnsi="Arial"/>
          <w:sz w:val="18"/>
          <w:szCs w:val="18"/>
          <w:u w:val="single" w:color="auto"/>
          <w:color w:val="0000FF"/>
          <w:strike w:val="1"/>
        </w:rPr>
        <w:t>such Benchmark</w:t>
      </w:r>
      <w:r>
        <w:rPr>
          <w:rFonts w:ascii="Arial" w:cs="Arial" w:eastAsia="Arial" w:hAnsi="Arial"/>
          <w:sz w:val="18"/>
          <w:szCs w:val="18"/>
          <w:color w:val="000000"/>
          <w:strike w:val="1"/>
        </w:rPr>
        <w:t xml:space="preserve"> with the applicable Unadjusted Benchmark Replacement for </w:t>
      </w:r>
      <w:r>
        <w:rPr>
          <w:rFonts w:ascii="Arial" w:cs="Arial" w:eastAsia="Arial" w:hAnsi="Arial"/>
          <w:sz w:val="18"/>
          <w:szCs w:val="18"/>
          <w:color w:val="FF0000"/>
          <w:strike w:val="1"/>
        </w:rPr>
        <w:t>U.S. dollar</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denominated </w:t>
      </w:r>
      <w:r>
        <w:rPr>
          <w:rFonts w:ascii="Arial" w:cs="Arial" w:eastAsia="Arial" w:hAnsi="Arial"/>
          <w:sz w:val="18"/>
          <w:szCs w:val="18"/>
          <w:color w:val="000000"/>
          <w:strike w:val="1"/>
        </w:rPr>
        <w:t>syndicated credit facilities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denominated in the applicable Agreed Currency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at such time</w:t>
      </w:r>
      <w:r>
        <w:rPr>
          <w:rFonts w:ascii="Arial" w:cs="Arial" w:eastAsia="Arial" w:hAnsi="Arial"/>
          <w:sz w:val="18"/>
          <w:szCs w:val="18"/>
          <w:color w:val="FF0000"/>
          <w:strike w:val="1"/>
        </w:rPr>
        <w:t>.</w:t>
      </w:r>
      <w:r>
        <w:rPr>
          <w:rFonts w:ascii="Arial" w:cs="Arial" w:eastAsia="Arial" w:hAnsi="Arial"/>
          <w:sz w:val="18"/>
          <w:szCs w:val="18"/>
          <w:u w:val="single" w:color="auto"/>
          <w:color w:val="0000FF"/>
          <w:strike w:val="1"/>
        </w:rPr>
        <w:t>;</w:t>
      </w:r>
    </w:p>
    <w:p>
      <w:pPr>
        <w:spacing w:after="0" w:line="157" w:lineRule="exact"/>
        <w:rPr>
          <w:sz w:val="20"/>
          <w:szCs w:val="20"/>
          <w:color w:val="auto"/>
        </w:rPr>
      </w:pPr>
    </w:p>
    <w:p>
      <w:pPr>
        <w:ind w:right="240" w:firstLine="648"/>
        <w:spacing w:after="0" w:line="333" w:lineRule="auto"/>
        <w:rPr>
          <w:sz w:val="20"/>
          <w:szCs w:val="20"/>
          <w:color w:val="auto"/>
        </w:rPr>
      </w:pPr>
      <w:r>
        <w:rPr>
          <w:rFonts w:ascii="Arial" w:cs="Arial" w:eastAsia="Arial" w:hAnsi="Arial"/>
          <w:sz w:val="16"/>
          <w:szCs w:val="16"/>
          <w:i w:val="1"/>
          <w:iCs w:val="1"/>
          <w:u w:val="single" w:color="auto"/>
          <w:color w:val="0000FF"/>
        </w:rPr>
        <w:t>provided that</w:t>
      </w:r>
      <w:r>
        <w:rPr>
          <w:rFonts w:ascii="Arial" w:cs="Arial" w:eastAsia="Arial" w:hAnsi="Arial"/>
          <w:sz w:val="16"/>
          <w:szCs w:val="16"/>
          <w:u w:val="single" w:color="auto"/>
          <w:color w:val="0000FF"/>
        </w:rPr>
        <w:t>, in the case of clause (1) above, such adjustment is displayed on a screen or other information service that publishes</w:t>
      </w:r>
      <w:r>
        <w:rPr>
          <w:rFonts w:ascii="Arial" w:cs="Arial" w:eastAsia="Arial" w:hAnsi="Arial"/>
          <w:sz w:val="16"/>
          <w:szCs w:val="16"/>
          <w:i w:val="1"/>
          <w:iCs w:val="1"/>
          <w:u w:val="single" w:color="auto"/>
          <w:color w:val="0000FF"/>
        </w:rPr>
        <w:t xml:space="preserve"> </w:t>
      </w:r>
      <w:r>
        <w:rPr>
          <w:rFonts w:ascii="Arial" w:cs="Arial" w:eastAsia="Arial" w:hAnsi="Arial"/>
          <w:sz w:val="16"/>
          <w:szCs w:val="16"/>
          <w:u w:val="single" w:color="auto"/>
          <w:color w:val="0000FF"/>
        </w:rPr>
        <w:t xml:space="preserve">such Benchmark Replacement Adjustment from time to time </w:t>
      </w:r>
      <w:r>
        <w:rPr>
          <w:rFonts w:ascii="Arial" w:cs="Arial" w:eastAsia="Arial" w:hAnsi="Arial"/>
          <w:sz w:val="16"/>
          <w:szCs w:val="16"/>
          <w:u w:val="single" w:color="auto"/>
          <w:color w:val="008000"/>
        </w:rPr>
        <w:t>as selected by the Administrative Agent</w:t>
      </w:r>
      <w:r>
        <w:rPr>
          <w:rFonts w:ascii="Arial" w:cs="Arial" w:eastAsia="Arial" w:hAnsi="Arial"/>
          <w:sz w:val="16"/>
          <w:szCs w:val="16"/>
          <w:u w:val="single" w:color="auto"/>
          <w:color w:val="0000FF"/>
        </w:rPr>
        <w:t xml:space="preserve"> in its reasonable discretion.</w:t>
      </w:r>
    </w:p>
    <w:p>
      <w:pPr>
        <w:spacing w:after="0" w:line="70"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“ABR,” the definition of “</w:t>
      </w:r>
      <w:r>
        <w:rPr>
          <w:rFonts w:ascii="Arial" w:cs="Arial" w:eastAsia="Arial" w:hAnsi="Arial"/>
          <w:sz w:val="18"/>
          <w:szCs w:val="18"/>
          <w:u w:val="single" w:color="auto"/>
          <w:color w:val="0000FF"/>
        </w:rPr>
        <w:t>Alternate Base Rate,” the definition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of “Business Day,” the definition of “</w:t>
      </w:r>
      <w:r>
        <w:rPr>
          <w:rFonts w:ascii="Arial" w:cs="Arial" w:eastAsia="Arial" w:hAnsi="Arial"/>
          <w:sz w:val="18"/>
          <w:szCs w:val="18"/>
          <w:color w:val="000000"/>
        </w:rPr>
        <w:t>Interest Period,” timing and frequency of determining rates and making payments of interest</w:t>
      </w:r>
      <w:r>
        <w:rPr>
          <w:rFonts w:ascii="Arial" w:cs="Arial" w:eastAsia="Arial" w:hAnsi="Arial"/>
          <w:sz w:val="18"/>
          <w:szCs w:val="18"/>
          <w:color w:val="0000FF"/>
        </w:rPr>
        <w:t xml:space="preserve"> </w:t>
      </w:r>
      <w:r>
        <w:rPr>
          <w:rFonts w:ascii="Arial" w:cs="Arial" w:eastAsia="Arial" w:hAnsi="Arial"/>
          <w:sz w:val="18"/>
          <w:szCs w:val="18"/>
          <w:color w:val="FF0000"/>
        </w:rPr>
        <w:t>and other</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timing of borrowing requests or prepayment, conversion or continuation notices, the applicability and length of lookback periods, the applicability of breakage provisions, and other technical,</w:t>
      </w:r>
      <w:r>
        <w:rPr>
          <w:rFonts w:ascii="Arial" w:cs="Arial" w:eastAsia="Arial" w:hAnsi="Arial"/>
          <w:sz w:val="18"/>
          <w:szCs w:val="18"/>
          <w:color w:val="0000FF"/>
        </w:rPr>
        <w:t xml:space="preserve"> </w:t>
      </w:r>
      <w:r>
        <w:rPr>
          <w:rFonts w:ascii="Arial" w:cs="Arial" w:eastAsia="Arial" w:hAnsi="Arial"/>
          <w:sz w:val="18"/>
          <w:szCs w:val="18"/>
          <w:color w:val="000000"/>
        </w:rPr>
        <w:t>administrative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or operational</w:t>
      </w:r>
      <w:r>
        <w:rPr>
          <w:rFonts w:ascii="Arial" w:cs="Arial" w:eastAsia="Arial" w:hAnsi="Arial"/>
          <w:sz w:val="18"/>
          <w:szCs w:val="18"/>
          <w:color w:val="0000FF"/>
        </w:rPr>
        <w:t xml:space="preserve"> </w:t>
      </w:r>
      <w:r>
        <w:rPr>
          <w:rFonts w:ascii="Arial" w:cs="Arial" w:eastAsia="Arial" w:hAnsi="Arial"/>
          <w:sz w:val="18"/>
          <w:szCs w:val="18"/>
          <w:color w:val="000000"/>
        </w:rPr>
        <w:t>matters) that the Administrative Agent</w:t>
      </w:r>
      <w:r>
        <w:rPr>
          <w:rFonts w:ascii="Arial" w:cs="Arial" w:eastAsia="Arial" w:hAnsi="Arial"/>
          <w:sz w:val="18"/>
          <w:szCs w:val="18"/>
          <w:color w:val="0000FF"/>
        </w:rPr>
        <w:t xml:space="preserve">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decides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(which decision, solely in the case of any Early Opt-in Election, shall be made in consultation with</w:t>
      </w:r>
      <w:r>
        <w:rPr>
          <w:rFonts w:ascii="Arial" w:cs="Arial" w:eastAsia="Arial" w:hAnsi="Arial"/>
          <w:sz w:val="18"/>
          <w:szCs w:val="18"/>
          <w:color w:val="0000FF"/>
        </w:rPr>
        <w:t xml:space="preserve"> </w:t>
      </w:r>
      <w:r>
        <w:rPr>
          <w:rFonts w:ascii="Arial" w:cs="Arial" w:eastAsia="Arial" w:hAnsi="Arial"/>
          <w:sz w:val="18"/>
          <w:szCs w:val="18"/>
          <w:color w:val="000000"/>
        </w:rPr>
        <w:t>the Company</w:t>
      </w:r>
      <w:r>
        <w:rPr>
          <w:rFonts w:ascii="Arial" w:cs="Arial" w:eastAsia="Arial" w:hAnsi="Arial"/>
          <w:sz w:val="18"/>
          <w:szCs w:val="18"/>
          <w:color w:val="0000FF"/>
        </w:rPr>
        <w:t xml:space="preserve"> </w:t>
      </w:r>
      <w:r>
        <w:rPr>
          <w:rFonts w:ascii="Arial" w:cs="Arial" w:eastAsia="Arial" w:hAnsi="Arial"/>
          <w:sz w:val="18"/>
          <w:szCs w:val="18"/>
          <w:color w:val="FF0000"/>
          <w:strike w:val="1"/>
        </w:rPr>
        <w:t>mutually agree are</w:t>
      </w:r>
      <w:r>
        <w:rPr>
          <w:rFonts w:ascii="Arial" w:cs="Arial" w:eastAsia="Arial" w:hAnsi="Arial"/>
          <w:sz w:val="18"/>
          <w:szCs w:val="18"/>
          <w:u w:val="single" w:color="auto"/>
          <w:color w:val="0000FF"/>
        </w:rPr>
        <w:t>) may be</w:t>
      </w:r>
      <w:r>
        <w:rPr>
          <w:rFonts w:ascii="Arial" w:cs="Arial" w:eastAsia="Arial" w:hAnsi="Arial"/>
          <w:sz w:val="18"/>
          <w:szCs w:val="18"/>
          <w:color w:val="0000FF"/>
        </w:rPr>
        <w:t xml:space="preserve"> </w:t>
      </w:r>
      <w:r>
        <w:rPr>
          <w:rFonts w:ascii="Arial" w:cs="Arial" w:eastAsia="Arial" w:hAnsi="Arial"/>
          <w:sz w:val="18"/>
          <w:szCs w:val="18"/>
          <w:color w:val="000000"/>
        </w:rPr>
        <w:t xml:space="preserve">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w:t>
      </w:r>
      <w:r>
        <w:rPr>
          <w:rFonts w:ascii="Arial" w:cs="Arial" w:eastAsia="Arial" w:hAnsi="Arial"/>
          <w:sz w:val="18"/>
          <w:szCs w:val="18"/>
          <w:u w:val="single" w:color="auto"/>
          <w:color w:val="FF0000"/>
          <w:strike w:val="1"/>
        </w:rPr>
        <w:t>the</w:t>
      </w:r>
      <w:r>
        <w:rPr>
          <w:rFonts w:ascii="Arial" w:cs="Arial" w:eastAsia="Arial" w:hAnsi="Arial"/>
          <w:sz w:val="18"/>
          <w:szCs w:val="18"/>
          <w:u w:val="single" w:color="auto"/>
          <w:color w:val="0000FF"/>
        </w:rPr>
        <w:t>such</w:t>
      </w:r>
      <w:r>
        <w:rPr>
          <w:rFonts w:ascii="Arial" w:cs="Arial" w:eastAsia="Arial" w:hAnsi="Arial"/>
          <w:sz w:val="18"/>
          <w:szCs w:val="18"/>
          <w:color w:val="000000"/>
        </w:rPr>
        <w:t xml:space="preserve"> Benchmark Replacement exists, in such other manner of administration as the Administrative Agent</w:t>
      </w:r>
      <w:r>
        <w:rPr>
          <w:rFonts w:ascii="Arial" w:cs="Arial" w:eastAsia="Arial" w:hAnsi="Arial"/>
          <w:sz w:val="18"/>
          <w:szCs w:val="18"/>
          <w:color w:val="FF0000"/>
          <w:strike w:val="1"/>
        </w:rPr>
        <w: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decides</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(which decision, solely in the case of any Early Opt-in Election, shall be made</w:t>
      </w:r>
      <w:r>
        <w:rPr>
          <w:rFonts w:ascii="Arial" w:cs="Arial" w:eastAsia="Arial" w:hAnsi="Arial"/>
          <w:sz w:val="18"/>
          <w:szCs w:val="18"/>
          <w:color w:val="0000FF"/>
        </w:rPr>
        <w:t xml:space="preserve"> </w:t>
      </w:r>
      <w:r>
        <w:rPr>
          <w:rFonts w:ascii="Arial" w:cs="Arial" w:eastAsia="Arial" w:hAnsi="Arial"/>
          <w:sz w:val="18"/>
          <w:szCs w:val="18"/>
          <w:color w:val="000000"/>
        </w:rPr>
        <w:t>in consultation with the Company</w:t>
      </w:r>
      <w:r>
        <w:rPr>
          <w:rFonts w:ascii="Arial" w:cs="Arial" w:eastAsia="Arial" w:hAnsi="Arial"/>
          <w:sz w:val="18"/>
          <w:szCs w:val="18"/>
          <w:color w:val="FF0000"/>
          <w:strike w:val="1"/>
        </w:rPr>
        <w:t>, decides</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color w:val="000000"/>
        </w:rPr>
        <w:t>is reasonably</w:t>
      </w:r>
      <w:r>
        <w:rPr>
          <w:rFonts w:ascii="Arial" w:cs="Arial" w:eastAsia="Arial" w:hAnsi="Arial"/>
          <w:sz w:val="18"/>
          <w:szCs w:val="18"/>
          <w:color w:val="0000FF"/>
        </w:rPr>
        <w:t xml:space="preserve"> </w:t>
      </w:r>
      <w:r>
        <w:rPr>
          <w:rFonts w:ascii="Arial" w:cs="Arial" w:eastAsia="Arial" w:hAnsi="Arial"/>
          <w:sz w:val="18"/>
          <w:szCs w:val="18"/>
          <w:color w:val="000000"/>
        </w:rPr>
        <w:t xml:space="preserve">necessary in connection with the administration of this Agreement </w:t>
      </w:r>
      <w:r>
        <w:rPr>
          <w:rFonts w:ascii="Arial" w:cs="Arial" w:eastAsia="Arial" w:hAnsi="Arial"/>
          <w:sz w:val="18"/>
          <w:szCs w:val="18"/>
          <w:color w:val="0000FF"/>
        </w:rPr>
        <w:t>and the other Loan Documents</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6535420</wp:posOffset>
            </wp:positionH>
            <wp:positionV relativeFrom="paragraph">
              <wp:posOffset>-1149985</wp:posOffset>
            </wp:positionV>
            <wp:extent cx="5022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502285" cy="8890"/>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-27305</wp:posOffset>
            </wp:positionV>
            <wp:extent cx="15805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580515" cy="8890"/>
                    </a:xfrm>
                    <a:prstGeom prst="rect">
                      <a:avLst/>
                    </a:prstGeom>
                    <a:noFill/>
                  </pic:spPr>
                </pic:pic>
              </a:graphicData>
            </a:graphic>
          </wp:anchor>
        </w:drawing>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b w:val="1"/>
          <w:bCs w:val="1"/>
          <w:i w:val="1"/>
          <w:iCs w:val="1"/>
          <w:color w:val="FF0000"/>
          <w:strike w:val="1"/>
        </w:rPr>
        <w:t>Benchmark Replacement Date</w:t>
      </w:r>
      <w:r>
        <w:rPr>
          <w:rFonts w:ascii="Arial" w:cs="Arial" w:eastAsia="Arial" w:hAnsi="Arial"/>
          <w:sz w:val="19"/>
          <w:szCs w:val="19"/>
          <w:color w:val="FF0000"/>
          <w:strike w:val="1"/>
        </w:rPr>
        <w:t>” means the earlier to occur of the following events with respect to Adjusted LIBO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-7620</wp:posOffset>
            </wp:positionV>
            <wp:extent cx="9702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153" w:lineRule="exact"/>
        <w:rPr>
          <w:sz w:val="20"/>
          <w:szCs w:val="20"/>
          <w:color w:val="auto"/>
        </w:rPr>
      </w:pPr>
    </w:p>
    <w:p>
      <w:pPr>
        <w:ind w:left="660" w:right="80" w:firstLine="644"/>
        <w:spacing w:after="0" w:line="229" w:lineRule="auto"/>
        <w:tabs>
          <w:tab w:leader="none" w:pos="1736" w:val="left"/>
        </w:tabs>
        <w:numPr>
          <w:ilvl w:val="0"/>
          <w:numId w:val="71"/>
        </w:numPr>
        <w:rPr>
          <w:rFonts w:ascii="Arial" w:cs="Arial" w:eastAsia="Arial" w:hAnsi="Arial"/>
          <w:sz w:val="20"/>
          <w:szCs w:val="20"/>
          <w:color w:val="FF0000"/>
          <w:strike w:val="1"/>
        </w:rPr>
      </w:pPr>
      <w:r>
        <w:rPr>
          <w:rFonts w:ascii="Arial" w:cs="Arial" w:eastAsia="Arial" w:hAnsi="Arial"/>
          <w:sz w:val="20"/>
          <w:szCs w:val="20"/>
          <w:color w:val="FF0000"/>
          <w:strike w:val="1"/>
        </w:rPr>
        <w:t>in the case of clause (1) or (2) of the definition of “Benchmark Transition Event,” the later of (a) the date of the public statement or publication of information referenced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-65-</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160"/>
          </w:cols>
          <w:pgMar w:left="320" w:top="1405" w:right="419" w:bottom="1440" w:gutter="0" w:footer="0" w:header="0"/>
        </w:sectPr>
      </w:pPr>
    </w:p>
    <w:bookmarkStart w:id="110" w:name="page111"/>
    <w:bookmarkEnd w:id="110"/>
    <w:p>
      <w:pPr>
        <w:ind w:left="660" w:right="300"/>
        <w:spacing w:after="0" w:line="229" w:lineRule="auto"/>
        <w:rPr>
          <w:sz w:val="20"/>
          <w:szCs w:val="20"/>
          <w:color w:val="auto"/>
        </w:rPr>
      </w:pPr>
      <w:r>
        <w:rPr>
          <w:rFonts w:ascii="Arial" w:cs="Arial" w:eastAsia="Arial" w:hAnsi="Arial"/>
          <w:sz w:val="20"/>
          <w:szCs w:val="20"/>
          <w:color w:val="FF0000"/>
          <w:strike w:val="1"/>
        </w:rPr>
        <w:t>and (b) the date on which the administrator of the Adjusted LIBO Rate permanently or indefinitely ceases to provide the Adjusted LIBO Rate; or</w:t>
      </w:r>
    </w:p>
    <w:p>
      <w:pPr>
        <w:spacing w:after="0" w:line="155" w:lineRule="exact"/>
        <w:rPr>
          <w:sz w:val="20"/>
          <w:szCs w:val="20"/>
          <w:color w:val="auto"/>
        </w:rPr>
      </w:pPr>
    </w:p>
    <w:p>
      <w:pPr>
        <w:ind w:left="660" w:right="800" w:firstLine="644"/>
        <w:spacing w:after="0" w:line="229" w:lineRule="auto"/>
        <w:tabs>
          <w:tab w:leader="none" w:pos="1736" w:val="left"/>
        </w:tabs>
        <w:numPr>
          <w:ilvl w:val="0"/>
          <w:numId w:val="72"/>
        </w:numPr>
        <w:rPr>
          <w:rFonts w:ascii="Arial" w:cs="Arial" w:eastAsia="Arial" w:hAnsi="Arial"/>
          <w:sz w:val="20"/>
          <w:szCs w:val="20"/>
          <w:color w:val="FF0000"/>
          <w:strike w:val="1"/>
        </w:rPr>
      </w:pPr>
      <w:r>
        <w:rPr>
          <w:rFonts w:ascii="Arial" w:cs="Arial" w:eastAsia="Arial" w:hAnsi="Arial"/>
          <w:sz w:val="20"/>
          <w:szCs w:val="20"/>
          <w:color w:val="FF0000"/>
          <w:strike w:val="1"/>
        </w:rPr>
        <w:t>in the case of clause (3) of the definition of “Benchmark Transition Event,” the date of the public statement or publication of information referenced therein.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Benchmark Transition Event</w:t>
      </w:r>
      <w:r>
        <w:rPr>
          <w:rFonts w:ascii="Arial" w:cs="Arial" w:eastAsia="Arial" w:hAnsi="Arial"/>
          <w:sz w:val="18"/>
          <w:szCs w:val="18"/>
          <w:color w:val="FF0000"/>
          <w:strike w:val="1"/>
        </w:rPr>
        <w:t>” means the occurrence of one or more of the following events with respect to the Adjusted LIBO</w:t>
      </w:r>
    </w:p>
    <w:p>
      <w:pPr>
        <w:spacing w:after="0"/>
        <w:rPr>
          <w:sz w:val="20"/>
          <w:szCs w:val="20"/>
          <w:color w:val="auto"/>
        </w:rPr>
      </w:pPr>
      <w:r>
        <w:rPr>
          <w:rFonts w:ascii="Arial" w:cs="Arial" w:eastAsia="Arial" w:hAnsi="Arial"/>
          <w:sz w:val="20"/>
          <w:szCs w:val="20"/>
          <w:color w:val="FF0000"/>
          <w:strike w:val="1"/>
        </w:rPr>
        <w:t>Rate:</w:t>
      </w:r>
    </w:p>
    <w:p>
      <w:pPr>
        <w:spacing w:after="0" w:line="146" w:lineRule="exact"/>
        <w:rPr>
          <w:sz w:val="20"/>
          <w:szCs w:val="20"/>
          <w:color w:val="auto"/>
        </w:rPr>
      </w:pPr>
    </w:p>
    <w:p>
      <w:pPr>
        <w:jc w:val="both"/>
        <w:ind w:left="660" w:right="220" w:firstLine="644"/>
        <w:spacing w:after="0" w:line="244" w:lineRule="auto"/>
        <w:tabs>
          <w:tab w:leader="none" w:pos="1736" w:val="left"/>
        </w:tabs>
        <w:numPr>
          <w:ilvl w:val="1"/>
          <w:numId w:val="73"/>
        </w:numPr>
        <w:rPr>
          <w:rFonts w:ascii="Arial" w:cs="Arial" w:eastAsia="Arial" w:hAnsi="Arial"/>
          <w:sz w:val="18"/>
          <w:szCs w:val="18"/>
          <w:color w:val="FF0000"/>
          <w:strike w:val="1"/>
        </w:rPr>
      </w:pPr>
      <w:r>
        <w:rPr>
          <w:rFonts w:ascii="Arial" w:cs="Arial" w:eastAsia="Arial" w:hAnsi="Arial"/>
          <w:sz w:val="18"/>
          <w:szCs w:val="18"/>
          <w:color w:val="FF0000"/>
          <w:strike w:val="1"/>
        </w:rPr>
        <w:t xml:space="preserve">a public statement or publication of information by or </w:t>
      </w:r>
      <w:r>
        <w:rPr>
          <w:rFonts w:ascii="Arial" w:cs="Arial" w:eastAsia="Arial" w:hAnsi="Arial"/>
          <w:sz w:val="18"/>
          <w:szCs w:val="18"/>
          <w:color w:val="008000"/>
          <w:strike w:val="1"/>
        </w:rPr>
        <w:t>on behalf of the administrator of</w:t>
      </w:r>
      <w:r>
        <w:rPr>
          <w:rFonts w:ascii="Arial" w:cs="Arial" w:eastAsia="Arial" w:hAnsi="Arial"/>
          <w:sz w:val="18"/>
          <w:szCs w:val="18"/>
          <w:color w:val="FF0000"/>
          <w:strike w:val="1"/>
        </w:rPr>
        <w:t xml:space="preserve"> LIBOR announcing that such administrator has ceased or will cease to provide the Adjusted LIBO Rate, permanently or indefinitely, </w:t>
      </w:r>
      <w:r>
        <w:rPr>
          <w:rFonts w:ascii="Arial" w:cs="Arial" w:eastAsia="Arial" w:hAnsi="Arial"/>
          <w:sz w:val="18"/>
          <w:szCs w:val="18"/>
          <w:i w:val="1"/>
          <w:iCs w:val="1"/>
          <w:color w:val="FF0000"/>
          <w:strike w:val="1"/>
        </w:rPr>
        <w:t>provided</w:t>
      </w:r>
      <w:r>
        <w:rPr>
          <w:rFonts w:ascii="Arial" w:cs="Arial" w:eastAsia="Arial" w:hAnsi="Arial"/>
          <w:sz w:val="18"/>
          <w:szCs w:val="18"/>
          <w:color w:val="FF0000"/>
          <w:strike w:val="1"/>
        </w:rPr>
        <w:t xml:space="preserve"> that, at the time of such statement or publication, there is no successor administrator that will continue to provide the Adjusted LIBO Rate;</w:t>
      </w:r>
    </w:p>
    <w:p>
      <w:pPr>
        <w:spacing w:after="0" w:line="151" w:lineRule="exact"/>
        <w:rPr>
          <w:rFonts w:ascii="Arial" w:cs="Arial" w:eastAsia="Arial" w:hAnsi="Arial"/>
          <w:sz w:val="18"/>
          <w:szCs w:val="18"/>
          <w:color w:val="FF0000"/>
          <w:strike w:val="1"/>
        </w:rPr>
      </w:pPr>
    </w:p>
    <w:p>
      <w:pPr>
        <w:ind w:firstLine="656"/>
        <w:spacing w:after="0" w:line="225" w:lineRule="auto"/>
        <w:tabs>
          <w:tab w:leader="none" w:pos="1076" w:val="left"/>
        </w:tabs>
        <w:numPr>
          <w:ilvl w:val="0"/>
          <w:numId w:val="74"/>
        </w:numPr>
        <w:rPr>
          <w:rFonts w:ascii="Arial" w:cs="Arial" w:eastAsia="Arial" w:hAnsi="Arial"/>
          <w:sz w:val="18"/>
          <w:szCs w:val="18"/>
          <w:color w:val="FF0000"/>
          <w:strike w:val="1"/>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Benchmark Transition Event</w:t>
      </w:r>
      <w:r>
        <w:rPr>
          <w:rFonts w:ascii="Arial" w:cs="Arial" w:eastAsia="Arial" w:hAnsi="Arial"/>
          <w:sz w:val="18"/>
          <w:szCs w:val="18"/>
          <w:u w:val="single" w:color="auto"/>
          <w:color w:val="0000FF"/>
        </w:rPr>
        <w:t>” means, with respect to any then-current Benchmark (other than LIBOR), the occurrence of</w:t>
      </w:r>
      <w:r>
        <w:rPr>
          <w:rFonts w:ascii="Arial" w:cs="Arial" w:eastAsia="Arial" w:hAnsi="Arial"/>
          <w:sz w:val="18"/>
          <w:szCs w:val="18"/>
          <w:color w:val="0000FF"/>
        </w:rPr>
        <w:t xml:space="preserve"> </w:t>
      </w:r>
      <w:r>
        <w:rPr>
          <w:rFonts w:ascii="Arial" w:cs="Arial" w:eastAsia="Arial" w:hAnsi="Arial"/>
          <w:sz w:val="18"/>
          <w:szCs w:val="18"/>
          <w:color w:val="000000"/>
        </w:rPr>
        <w:t>a</w:t>
      </w:r>
      <w:r>
        <w:rPr>
          <w:rFonts w:ascii="Arial" w:cs="Arial" w:eastAsia="Arial" w:hAnsi="Arial"/>
          <w:sz w:val="18"/>
          <w:szCs w:val="18"/>
          <w:color w:val="0000FF"/>
        </w:rPr>
        <w:t xml:space="preserve"> </w:t>
      </w:r>
      <w:r>
        <w:rPr>
          <w:rFonts w:ascii="Arial" w:cs="Arial" w:eastAsia="Arial" w:hAnsi="Arial"/>
          <w:sz w:val="18"/>
          <w:szCs w:val="18"/>
          <w:color w:val="000000"/>
        </w:rPr>
        <w:t xml:space="preserve">public statement or publication of information by </w:t>
      </w:r>
      <w:r>
        <w:rPr>
          <w:rFonts w:ascii="Arial" w:cs="Arial" w:eastAsia="Arial" w:hAnsi="Arial"/>
          <w:sz w:val="18"/>
          <w:szCs w:val="18"/>
          <w:color w:val="FF0000"/>
          <w:strike w:val="1"/>
        </w:rPr>
        <w:t>the</w:t>
      </w:r>
      <w:r>
        <w:rPr>
          <w:rFonts w:ascii="Arial" w:cs="Arial" w:eastAsia="Arial" w:hAnsi="Arial"/>
          <w:sz w:val="18"/>
          <w:szCs w:val="18"/>
          <w:color w:val="000000"/>
        </w:rPr>
        <w:t xml:space="preserve"> </w:t>
      </w:r>
      <w:r>
        <w:rPr>
          <w:rFonts w:ascii="Arial" w:cs="Arial" w:eastAsia="Arial" w:hAnsi="Arial"/>
          <w:sz w:val="18"/>
          <w:szCs w:val="18"/>
          <w:u w:val="single" w:color="auto"/>
          <w:color w:val="008000"/>
        </w:rPr>
        <w:t>or on behalf of the administrator of</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the then-current Benchmark, the</w:t>
      </w:r>
      <w:r>
        <w:rPr>
          <w:rFonts w:ascii="Arial" w:cs="Arial" w:eastAsia="Arial" w:hAnsi="Arial"/>
          <w:sz w:val="18"/>
          <w:szCs w:val="18"/>
          <w:color w:val="000000"/>
        </w:rPr>
        <w:t xml:space="preserve"> regulatory supervisor for the administrator of </w:t>
      </w:r>
      <w:r>
        <w:rPr>
          <w:rFonts w:ascii="Arial" w:cs="Arial" w:eastAsia="Arial" w:hAnsi="Arial"/>
          <w:sz w:val="18"/>
          <w:szCs w:val="18"/>
          <w:color w:val="FF0000"/>
          <w:strike w:val="1"/>
        </w:rPr>
        <w:t>the Adjusted LIBO Rate, the U.S.</w:t>
      </w:r>
      <w:r>
        <w:rPr>
          <w:rFonts w:ascii="Arial" w:cs="Arial" w:eastAsia="Arial" w:hAnsi="Arial"/>
          <w:sz w:val="18"/>
          <w:szCs w:val="18"/>
          <w:u w:val="single" w:color="auto"/>
          <w:color w:val="0000FF"/>
        </w:rPr>
        <w:t>such Benchmark, the Board of Governors of the</w:t>
      </w:r>
      <w:r>
        <w:rPr>
          <w:rFonts w:ascii="Arial" w:cs="Arial" w:eastAsia="Arial" w:hAnsi="Arial"/>
          <w:sz w:val="18"/>
          <w:szCs w:val="18"/>
          <w:color w:val="000000"/>
        </w:rPr>
        <w:t xml:space="preserve"> Federal Reserve System</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w:t>
      </w:r>
      <w:r>
        <w:rPr>
          <w:rFonts w:ascii="Arial" w:cs="Arial" w:eastAsia="Arial" w:hAnsi="Arial"/>
          <w:sz w:val="18"/>
          <w:szCs w:val="18"/>
          <w:u w:val="single" w:color="auto"/>
          <w:color w:val="008000"/>
        </w:rPr>
        <w:t>the Federal Reserve Bank of New York</w:t>
      </w:r>
      <w:r>
        <w:rPr>
          <w:rFonts w:ascii="Arial" w:cs="Arial" w:eastAsia="Arial" w:hAnsi="Arial"/>
          <w:sz w:val="18"/>
          <w:szCs w:val="18"/>
          <w:color w:val="000000"/>
        </w:rPr>
        <w:t xml:space="preserve">, an insolvency official with jurisdiction over the administrator for </w:t>
      </w:r>
      <w:r>
        <w:rPr>
          <w:rFonts w:ascii="Arial" w:cs="Arial" w:eastAsia="Arial" w:hAnsi="Arial"/>
          <w:sz w:val="18"/>
          <w:szCs w:val="18"/>
          <w:color w:val="FF0000"/>
          <w:strike w:val="1"/>
        </w:rPr>
        <w:t>the Adjusted LIBO</w:t>
      </w:r>
      <w:r>
        <w:rPr>
          <w:rFonts w:ascii="Arial" w:cs="Arial" w:eastAsia="Arial" w:hAnsi="Arial"/>
          <w:sz w:val="18"/>
          <w:szCs w:val="18"/>
          <w:color w:val="000000"/>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such Benchmark</w:t>
      </w:r>
      <w:r>
        <w:rPr>
          <w:rFonts w:ascii="Arial" w:cs="Arial" w:eastAsia="Arial" w:hAnsi="Arial"/>
          <w:sz w:val="18"/>
          <w:szCs w:val="18"/>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a resolution authority with jurisdiction over the administrator for</w:t>
      </w:r>
      <w:r>
        <w:rPr>
          <w:rFonts w:ascii="Arial" w:cs="Arial" w:eastAsia="Arial" w:hAnsi="Arial"/>
          <w:sz w:val="18"/>
          <w:szCs w:val="18"/>
          <w:color w:val="FF0000"/>
        </w:rPr>
        <w:t xml:space="preserve"> </w:t>
      </w:r>
      <w:r>
        <w:rPr>
          <w:rFonts w:ascii="Arial" w:cs="Arial" w:eastAsia="Arial" w:hAnsi="Arial"/>
          <w:sz w:val="18"/>
          <w:szCs w:val="18"/>
          <w:color w:val="FF0000"/>
          <w:strike w:val="1"/>
        </w:rPr>
        <w:t>the Adjusted LIBO Rate</w:t>
      </w:r>
      <w:r>
        <w:rPr>
          <w:rFonts w:ascii="Arial" w:cs="Arial" w:eastAsia="Arial" w:hAnsi="Arial"/>
          <w:sz w:val="18"/>
          <w:szCs w:val="18"/>
          <w:u w:val="single" w:color="auto"/>
          <w:color w:val="0000FF"/>
        </w:rPr>
        <w:t>such Benchmark</w:t>
      </w:r>
      <w:r>
        <w:rPr>
          <w:rFonts w:ascii="Arial" w:cs="Arial" w:eastAsia="Arial" w:hAnsi="Arial"/>
          <w:sz w:val="18"/>
          <w:szCs w:val="18"/>
          <w:color w:val="FF0000"/>
        </w:rPr>
        <w:t xml:space="preserve"> </w:t>
      </w:r>
      <w:r>
        <w:rPr>
          <w:rFonts w:ascii="Arial" w:cs="Arial" w:eastAsia="Arial" w:hAnsi="Arial"/>
          <w:sz w:val="18"/>
          <w:szCs w:val="18"/>
          <w:color w:val="000000"/>
        </w:rPr>
        <w:t>or a court or</w:t>
      </w:r>
      <w:r>
        <w:rPr>
          <w:rFonts w:ascii="Arial" w:cs="Arial" w:eastAsia="Arial" w:hAnsi="Arial"/>
          <w:sz w:val="18"/>
          <w:szCs w:val="18"/>
          <w:color w:val="FF0000"/>
        </w:rPr>
        <w:t xml:space="preserve"> </w:t>
      </w:r>
      <w:r>
        <w:rPr>
          <w:rFonts w:ascii="Arial" w:cs="Arial" w:eastAsia="Arial" w:hAnsi="Arial"/>
          <w:sz w:val="18"/>
          <w:szCs w:val="18"/>
          <w:color w:val="000000"/>
        </w:rPr>
        <w:t xml:space="preserve">an entity with similar insolvency or resolution authority over the administrator for </w:t>
      </w:r>
      <w:r>
        <w:rPr>
          <w:rFonts w:ascii="Arial" w:cs="Arial" w:eastAsia="Arial" w:hAnsi="Arial"/>
          <w:sz w:val="18"/>
          <w:szCs w:val="18"/>
          <w:color w:val="FF0000"/>
          <w:strike w:val="1"/>
        </w:rPr>
        <w:t>the Adjusted LIBO Rate, which states that</w:t>
      </w:r>
      <w:r>
        <w:rPr>
          <w:rFonts w:ascii="Arial" w:cs="Arial" w:eastAsia="Arial" w:hAnsi="Arial"/>
          <w:sz w:val="18"/>
          <w:szCs w:val="18"/>
          <w:color w:val="000000"/>
        </w:rPr>
        <w:t xml:space="preserve"> </w:t>
      </w:r>
      <w:r>
        <w:rPr>
          <w:rFonts w:ascii="Arial" w:cs="Arial" w:eastAsia="Arial" w:hAnsi="Arial"/>
          <w:sz w:val="18"/>
          <w:szCs w:val="18"/>
          <w:u w:val="single" w:color="auto"/>
          <w:color w:val="FF0000"/>
          <w:strike w:val="1"/>
        </w:rPr>
        <w:t>the</w:t>
      </w:r>
      <w:r>
        <w:rPr>
          <w:rFonts w:ascii="Arial" w:cs="Arial" w:eastAsia="Arial" w:hAnsi="Arial"/>
          <w:sz w:val="18"/>
          <w:szCs w:val="18"/>
          <w:u w:val="single" w:color="auto"/>
          <w:color w:val="0000FF"/>
        </w:rPr>
        <w:t>such</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Benchmark, announcing or stating that (a) such</w:t>
      </w:r>
      <w:r>
        <w:rPr>
          <w:rFonts w:ascii="Arial" w:cs="Arial" w:eastAsia="Arial" w:hAnsi="Arial"/>
          <w:sz w:val="18"/>
          <w:szCs w:val="18"/>
          <w:color w:val="0000FF"/>
        </w:rPr>
        <w:t xml:space="preserve"> </w:t>
      </w:r>
      <w:r>
        <w:rPr>
          <w:rFonts w:ascii="Arial" w:cs="Arial" w:eastAsia="Arial" w:hAnsi="Arial"/>
          <w:sz w:val="18"/>
          <w:szCs w:val="18"/>
          <w:color w:val="000000"/>
        </w:rPr>
        <w:t>administrator</w:t>
      </w:r>
      <w:r>
        <w:rPr>
          <w:rFonts w:ascii="Arial" w:cs="Arial" w:eastAsia="Arial" w:hAnsi="Arial"/>
          <w:sz w:val="18"/>
          <w:szCs w:val="18"/>
          <w:color w:val="0000FF"/>
        </w:rPr>
        <w:t xml:space="preserve"> </w:t>
      </w:r>
      <w:r>
        <w:rPr>
          <w:rFonts w:ascii="Arial" w:cs="Arial" w:eastAsia="Arial" w:hAnsi="Arial"/>
          <w:sz w:val="18"/>
          <w:szCs w:val="18"/>
          <w:color w:val="FF0000"/>
          <w:strike w:val="1"/>
        </w:rPr>
        <w:t>of the Adjusted LIBO Rate</w:t>
      </w:r>
      <w:r>
        <w:rPr>
          <w:rFonts w:ascii="Arial" w:cs="Arial" w:eastAsia="Arial" w:hAnsi="Arial"/>
          <w:sz w:val="18"/>
          <w:szCs w:val="18"/>
          <w:color w:val="0000FF"/>
        </w:rPr>
        <w:t xml:space="preserve"> </w:t>
      </w:r>
      <w:r>
        <w:rPr>
          <w:rFonts w:ascii="Arial" w:cs="Arial" w:eastAsia="Arial" w:hAnsi="Arial"/>
          <w:sz w:val="18"/>
          <w:szCs w:val="18"/>
          <w:color w:val="000000"/>
        </w:rPr>
        <w:t>has ceased or will cease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on a specified date</w:t>
      </w:r>
      <w:r>
        <w:rPr>
          <w:rFonts w:ascii="Arial" w:cs="Arial" w:eastAsia="Arial" w:hAnsi="Arial"/>
          <w:sz w:val="18"/>
          <w:szCs w:val="18"/>
          <w:color w:val="0000FF"/>
        </w:rPr>
        <w:t xml:space="preserve"> </w:t>
      </w:r>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 xml:space="preserve">provide </w:t>
      </w:r>
      <w:r>
        <w:rPr>
          <w:rFonts w:ascii="Arial" w:cs="Arial" w:eastAsia="Arial" w:hAnsi="Arial"/>
          <w:sz w:val="18"/>
          <w:szCs w:val="18"/>
          <w:color w:val="FF0000"/>
          <w:strike w:val="1"/>
        </w:rPr>
        <w:t>the Adjusted LIBO Rate</w:t>
      </w:r>
      <w:r>
        <w:rPr>
          <w:rFonts w:ascii="Arial" w:cs="Arial" w:eastAsia="Arial" w:hAnsi="Arial"/>
          <w:sz w:val="18"/>
          <w:szCs w:val="18"/>
          <w:u w:val="single" w:color="auto"/>
          <w:color w:val="0000FF"/>
        </w:rPr>
        <w:t>all Available Tenors of such Benchmark,</w:t>
      </w:r>
      <w:r>
        <w:rPr>
          <w:rFonts w:ascii="Arial" w:cs="Arial" w:eastAsia="Arial" w:hAnsi="Arial"/>
          <w:sz w:val="18"/>
          <w:szCs w:val="18"/>
          <w:color w:val="000000"/>
        </w:rPr>
        <w:t xml:space="preserve"> permanently or indefinitely, provided that, at the time of such statement or publication, there is no successor administrator that will continue to provide </w:t>
      </w:r>
      <w:r>
        <w:rPr>
          <w:rFonts w:ascii="Arial" w:cs="Arial" w:eastAsia="Arial" w:hAnsi="Arial"/>
          <w:sz w:val="18"/>
          <w:szCs w:val="18"/>
          <w:color w:val="FF0000"/>
          <w:strike w:val="1"/>
        </w:rPr>
        <w:t>the Adjusted LIBO Rate; or</w:t>
      </w:r>
      <w:r>
        <w:rPr>
          <w:rFonts w:ascii="Arial" w:cs="Arial" w:eastAsia="Arial" w:hAnsi="Arial"/>
          <w:sz w:val="18"/>
          <w:szCs w:val="18"/>
          <w:u w:val="single" w:color="auto"/>
          <w:color w:val="0000FF"/>
        </w:rPr>
        <w:t>any Available Tenor of</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such Benchmark or (b) all Available Tenors of such Benchmark are or will no longer be representative of the underlying market and economic reality that such Benchmark is intended to measure and that representativeness will not be restored.</w:t>
      </w:r>
    </w:p>
    <w:p>
      <w:pPr>
        <w:spacing w:after="0" w:line="133" w:lineRule="exact"/>
        <w:rPr>
          <w:rFonts w:ascii="Arial" w:cs="Arial" w:eastAsia="Arial" w:hAnsi="Arial"/>
          <w:sz w:val="18"/>
          <w:szCs w:val="18"/>
          <w:color w:val="FF0000"/>
          <w:strike w:val="1"/>
        </w:rPr>
      </w:pPr>
    </w:p>
    <w:p>
      <w:pPr>
        <w:ind w:left="660" w:right="500" w:firstLine="644"/>
        <w:spacing w:after="0" w:line="269" w:lineRule="auto"/>
        <w:tabs>
          <w:tab w:leader="none" w:pos="1736" w:val="left"/>
        </w:tabs>
        <w:numPr>
          <w:ilvl w:val="1"/>
          <w:numId w:val="74"/>
        </w:numPr>
        <w:rPr>
          <w:rFonts w:ascii="Arial" w:cs="Arial" w:eastAsia="Arial" w:hAnsi="Arial"/>
          <w:sz w:val="18"/>
          <w:szCs w:val="18"/>
          <w:color w:val="FF0000"/>
          <w:strike w:val="1"/>
        </w:rPr>
      </w:pPr>
      <w:r>
        <w:rPr>
          <w:rFonts w:ascii="Arial" w:cs="Arial" w:eastAsia="Arial" w:hAnsi="Arial"/>
          <w:sz w:val="18"/>
          <w:szCs w:val="18"/>
          <w:color w:val="FF0000"/>
          <w:strike w:val="1"/>
        </w:rPr>
        <w:t>a public statement or publication of information by the regulatory supervisor for the administrator of the Adjusted LIBO Rate or a Relevant Governmental Body announcing that the Adjusted LIBO Rate is no longer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-2100580</wp:posOffset>
            </wp:positionV>
            <wp:extent cx="311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-926465</wp:posOffset>
            </wp:positionV>
            <wp:extent cx="311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10" w:lineRule="exact"/>
        <w:rPr>
          <w:sz w:val="20"/>
          <w:szCs w:val="20"/>
          <w:color w:val="auto"/>
        </w:rPr>
      </w:pPr>
    </w:p>
    <w:p>
      <w:pPr>
        <w:ind w:right="320" w:firstLine="648"/>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Benchmark Transition Start Date</w:t>
      </w:r>
      <w:r>
        <w:rPr>
          <w:rFonts w:ascii="Arial" w:cs="Arial" w:eastAsia="Arial" w:hAnsi="Arial"/>
          <w:sz w:val="18"/>
          <w:szCs w:val="18"/>
          <w:color w:val="FF0000"/>
          <w:strike w:val="1"/>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-66-</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111" w:name="page112"/>
    <w:bookmarkEnd w:id="111"/>
    <w:p>
      <w:pPr>
        <w:ind w:right="400"/>
        <w:spacing w:after="0" w:line="218" w:lineRule="auto"/>
        <w:rPr>
          <w:sz w:val="20"/>
          <w:szCs w:val="20"/>
          <w:color w:val="auto"/>
        </w:rPr>
      </w:pPr>
      <w:r>
        <w:rPr>
          <w:rFonts w:ascii="Arial" w:cs="Arial" w:eastAsia="Arial" w:hAnsi="Arial"/>
          <w:sz w:val="20"/>
          <w:szCs w:val="20"/>
          <w:color w:val="FF0000"/>
          <w:strike w:val="1"/>
        </w:rPr>
        <w:t>statement or publication) and (b) in the case of an Early Optin Election, the date specified by the Administrative Agent or the Required Lenders, as applicable, by notice to the Company, the Administrative Agent (in the case of such notice by the Required Lenders) and the Lenders.</w:t>
      </w:r>
    </w:p>
    <w:p>
      <w:pPr>
        <w:spacing w:after="0" w:line="143" w:lineRule="exact"/>
        <w:rPr>
          <w:sz w:val="20"/>
          <w:szCs w:val="20"/>
          <w:color w:val="auto"/>
        </w:rPr>
      </w:pPr>
    </w:p>
    <w:p>
      <w:pPr>
        <w:ind w:right="360" w:firstLine="648"/>
        <w:spacing w:after="0" w:line="207"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Benchmark Unavailability Period</w:t>
      </w:r>
      <w:r>
        <w:rPr>
          <w:rFonts w:ascii="Arial" w:cs="Arial" w:eastAsia="Arial" w:hAnsi="Arial"/>
          <w:sz w:val="20"/>
          <w:szCs w:val="20"/>
          <w:color w:val="FF0000"/>
          <w:strike w:val="1"/>
        </w:rPr>
        <w:t xml:space="preserve">” means, if a Benchmark Transition Event and its related Benchmark Replacement Date have occurred with respect to the Adjusted LIBO Rate and solely to the extent that the Adjusted LIBO Rate has not been replaced with a Benchmark Replacement, the period (x) beginning at the time that such Benchmark Replacement Date has occurred if, at such time, no Benchmark Replacement has replaced the Adjusted LIBO Rate for all purposes hereunder in accordance with this Section 2.23 and (y) ending at the time </w:t>
      </w:r>
      <w:r>
        <w:rPr>
          <w:rFonts w:ascii="Arial" w:cs="Arial" w:eastAsia="Arial" w:hAnsi="Arial"/>
          <w:sz w:val="20"/>
          <w:szCs w:val="20"/>
          <w:color w:val="008000"/>
          <w:strike w:val="1"/>
        </w:rPr>
        <w:t>that a Benchmark Replacement has replaced</w:t>
      </w:r>
      <w:r>
        <w:rPr>
          <w:rFonts w:ascii="Arial" w:cs="Arial" w:eastAsia="Arial" w:hAnsi="Arial"/>
          <w:sz w:val="20"/>
          <w:szCs w:val="20"/>
          <w:color w:val="FF0000"/>
          <w:strike w:val="1"/>
        </w:rPr>
        <w:t xml:space="preserve"> the Adjusted LIBO Rate for all purposes hereunder pursuant to this Section 2.23.</w:t>
      </w:r>
    </w:p>
    <w:p>
      <w:pPr>
        <w:spacing w:after="0" w:line="133" w:lineRule="exact"/>
        <w:rPr>
          <w:sz w:val="20"/>
          <w:szCs w:val="20"/>
          <w:color w:val="auto"/>
        </w:rPr>
      </w:pPr>
    </w:p>
    <w:p>
      <w:pPr>
        <w:ind w:right="140" w:firstLine="648"/>
        <w:spacing w:after="0" w:line="242"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i w:val="1"/>
          <w:iCs w:val="1"/>
          <w:u w:val="single" w:color="auto"/>
          <w:color w:val="0000FF"/>
        </w:rPr>
        <w:t>Corresponding Tenor</w:t>
      </w:r>
      <w:r>
        <w:rPr>
          <w:rFonts w:ascii="Arial" w:cs="Arial" w:eastAsia="Arial" w:hAnsi="Arial"/>
          <w:sz w:val="19"/>
          <w:szCs w:val="19"/>
          <w:u w:val="single" w:color="auto"/>
          <w:color w:val="0000FF"/>
        </w:rPr>
        <w:t>” with respect to any Available Tenor means, as applicable, either a tenor (including overnight) or an interest payment period having approximately the same length (disregarding Business Day adjustment) as such Available Tenor.</w:t>
      </w:r>
    </w:p>
    <w:p>
      <w:pPr>
        <w:spacing w:after="0" w:line="140" w:lineRule="exact"/>
        <w:rPr>
          <w:sz w:val="20"/>
          <w:szCs w:val="20"/>
          <w:color w:val="auto"/>
        </w:rPr>
      </w:pPr>
    </w:p>
    <w:p>
      <w:pPr>
        <w:ind w:right="100" w:firstLine="648"/>
        <w:spacing w:after="0" w:line="210"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Daily Simple SARON</w:t>
      </w:r>
      <w:r>
        <w:rPr>
          <w:rFonts w:ascii="Arial" w:cs="Arial" w:eastAsia="Arial" w:hAnsi="Arial"/>
          <w:sz w:val="20"/>
          <w:szCs w:val="20"/>
          <w:u w:val="single" w:color="auto"/>
          <w:color w:val="0000FF"/>
        </w:rPr>
        <w:t xml:space="preserve">” means, for any day, SARON, with the conventions for this rate (which may include a lookback) being established by the Administrative Agent in accordance with the conventions for this rate selected or recommended by the Relevant Governmental Body for determining “Daily Simple SARON” for business loans; </w:t>
      </w:r>
      <w:r>
        <w:rPr>
          <w:rFonts w:ascii="Arial" w:cs="Arial" w:eastAsia="Arial" w:hAnsi="Arial"/>
          <w:sz w:val="20"/>
          <w:szCs w:val="20"/>
          <w:i w:val="1"/>
          <w:iCs w:val="1"/>
          <w:u w:val="single" w:color="auto"/>
          <w:color w:val="0000FF"/>
        </w:rPr>
        <w:t>provided that</w:t>
      </w:r>
      <w:r>
        <w:rPr>
          <w:rFonts w:ascii="Arial" w:cs="Arial" w:eastAsia="Arial" w:hAnsi="Arial"/>
          <w:sz w:val="20"/>
          <w:szCs w:val="20"/>
          <w:u w:val="single" w:color="auto"/>
          <w:color w:val="0000FF"/>
        </w:rPr>
        <w:t>, if the Administrative Agent decides that any such convention is not administratively feasible for the Administrative Agent, then the Administrative Agent may establish another convention in its reasonable discretion.</w:t>
      </w:r>
    </w:p>
    <w:p>
      <w:pPr>
        <w:spacing w:after="0" w:line="141" w:lineRule="exact"/>
        <w:rPr>
          <w:sz w:val="20"/>
          <w:szCs w:val="20"/>
          <w:color w:val="auto"/>
        </w:rPr>
      </w:pPr>
    </w:p>
    <w:p>
      <w:pPr>
        <w:ind w:right="100" w:firstLine="648"/>
        <w:spacing w:after="0" w:line="210"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Daily Simple SOFR</w:t>
      </w:r>
      <w:r>
        <w:rPr>
          <w:rFonts w:ascii="Arial" w:cs="Arial" w:eastAsia="Arial" w:hAnsi="Arial"/>
          <w:sz w:val="20"/>
          <w:szCs w:val="20"/>
          <w:u w:val="single" w:color="auto"/>
          <w:color w:val="0000FF"/>
        </w:rPr>
        <w:t xml:space="preserve">” means, for any day, SOFR, with the conventions for this rate (which will include a lookback) being established by the Administrative Agent in accordance with the conventions for this rate recommended by the Relevant Governmental Body for determining “Daily Simple SOFR” for syndicated business loans; </w:t>
      </w:r>
      <w:r>
        <w:rPr>
          <w:rFonts w:ascii="Arial" w:cs="Arial" w:eastAsia="Arial" w:hAnsi="Arial"/>
          <w:sz w:val="20"/>
          <w:szCs w:val="20"/>
          <w:i w:val="1"/>
          <w:iCs w:val="1"/>
          <w:u w:val="single" w:color="auto"/>
          <w:color w:val="0000FF"/>
        </w:rPr>
        <w:t>provided, that</w:t>
      </w:r>
      <w:r>
        <w:rPr>
          <w:rFonts w:ascii="Arial" w:cs="Arial" w:eastAsia="Arial" w:hAnsi="Arial"/>
          <w:sz w:val="20"/>
          <w:szCs w:val="20"/>
          <w:u w:val="single" w:color="auto"/>
          <w:color w:val="0000FF"/>
        </w:rPr>
        <w:t xml:space="preserve"> if the Administrative Agent decides that any such convention is not administratively feasible for the Administrative Agent, then the Administrative Agent may establish another convention in its reasonable discretion.</w:t>
      </w:r>
    </w:p>
    <w:p>
      <w:pPr>
        <w:spacing w:after="0" w:line="128" w:lineRule="exact"/>
        <w:rPr>
          <w:sz w:val="20"/>
          <w:szCs w:val="20"/>
          <w:color w:val="auto"/>
        </w:rPr>
      </w:pPr>
    </w:p>
    <w:p>
      <w:pPr>
        <w:ind w:right="160" w:firstLine="648"/>
        <w:spacing w:after="0" w:line="210"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Daily Simple SONIA</w:t>
      </w:r>
      <w:r>
        <w:rPr>
          <w:rFonts w:ascii="Arial" w:cs="Arial" w:eastAsia="Arial" w:hAnsi="Arial"/>
          <w:sz w:val="20"/>
          <w:szCs w:val="20"/>
          <w:u w:val="single" w:color="auto"/>
          <w:color w:val="0000FF"/>
        </w:rPr>
        <w:t>” means, for any day, SONIA, with the conventions for this rate (which will include a lookback) being established by the Administrative Agent in accordance with the conventions for this rate selected or recommended by the Relevant Governmental Body for determining “</w:t>
      </w:r>
      <w:r>
        <w:rPr>
          <w:rFonts w:ascii="Arial" w:cs="Arial" w:eastAsia="Arial" w:hAnsi="Arial"/>
          <w:sz w:val="20"/>
          <w:szCs w:val="20"/>
          <w:b w:val="1"/>
          <w:bCs w:val="1"/>
          <w:i w:val="1"/>
          <w:iCs w:val="1"/>
          <w:u w:val="single" w:color="auto"/>
          <w:color w:val="0000FF"/>
        </w:rPr>
        <w:t>Daily Simple SONIA</w:t>
      </w:r>
      <w:r>
        <w:rPr>
          <w:rFonts w:ascii="Arial" w:cs="Arial" w:eastAsia="Arial" w:hAnsi="Arial"/>
          <w:sz w:val="20"/>
          <w:szCs w:val="20"/>
          <w:u w:val="single" w:color="auto"/>
          <w:color w:val="0000FF"/>
        </w:rPr>
        <w:t xml:space="preserve">” for business loans; </w:t>
      </w:r>
      <w:r>
        <w:rPr>
          <w:rFonts w:ascii="Arial" w:cs="Arial" w:eastAsia="Arial" w:hAnsi="Arial"/>
          <w:sz w:val="20"/>
          <w:szCs w:val="20"/>
          <w:i w:val="1"/>
          <w:iCs w:val="1"/>
          <w:u w:val="single" w:color="auto"/>
          <w:color w:val="0000FF"/>
        </w:rPr>
        <w:t>provided that</w:t>
      </w:r>
      <w:r>
        <w:rPr>
          <w:rFonts w:ascii="Arial" w:cs="Arial" w:eastAsia="Arial" w:hAnsi="Arial"/>
          <w:sz w:val="20"/>
          <w:szCs w:val="20"/>
          <w:u w:val="single" w:color="auto"/>
          <w:color w:val="0000FF"/>
        </w:rPr>
        <w:t>, if the Administrative Agent decides that any such convention is not administratively feasible for the Administrative Agent, then the Administrative Agent may establish another convention in its reasonable discretion.</w:t>
      </w:r>
    </w:p>
    <w:p>
      <w:pPr>
        <w:spacing w:after="0" w:line="141" w:lineRule="exact"/>
        <w:rPr>
          <w:sz w:val="20"/>
          <w:szCs w:val="20"/>
          <w:color w:val="auto"/>
        </w:rPr>
      </w:pPr>
    </w:p>
    <w:p>
      <w:pPr>
        <w:ind w:right="220" w:firstLine="648"/>
        <w:spacing w:after="0" w:line="210"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Daily Simple TONA</w:t>
      </w:r>
      <w:r>
        <w:rPr>
          <w:rFonts w:ascii="Arial" w:cs="Arial" w:eastAsia="Arial" w:hAnsi="Arial"/>
          <w:sz w:val="20"/>
          <w:szCs w:val="20"/>
          <w:u w:val="single" w:color="auto"/>
          <w:color w:val="0000FF"/>
        </w:rPr>
        <w:t xml:space="preserve">” means, for any day, TONA, with the conventions for this rate (which will include a lookback) being established by the Administrative Agent in accordance with the conventions for this rate selected or recommended by the Relevant Governmental Body for determining “Daily Simple TONA” for business loans; </w:t>
      </w:r>
      <w:r>
        <w:rPr>
          <w:rFonts w:ascii="Arial" w:cs="Arial" w:eastAsia="Arial" w:hAnsi="Arial"/>
          <w:sz w:val="20"/>
          <w:szCs w:val="20"/>
          <w:i w:val="1"/>
          <w:iCs w:val="1"/>
          <w:u w:val="single" w:color="auto"/>
          <w:color w:val="0000FF"/>
        </w:rPr>
        <w:t>provided that</w:t>
      </w:r>
      <w:r>
        <w:rPr>
          <w:rFonts w:ascii="Arial" w:cs="Arial" w:eastAsia="Arial" w:hAnsi="Arial"/>
          <w:sz w:val="20"/>
          <w:szCs w:val="20"/>
          <w:u w:val="single" w:color="auto"/>
          <w:color w:val="0000FF"/>
        </w:rPr>
        <w:t>, if the Administrative Agent decides that any such convention is not administratively feasible for the Administrative Agent, then the Administrative Agent may establish another convention in its reasonable discretion.</w:t>
      </w:r>
    </w:p>
    <w:p>
      <w:pPr>
        <w:spacing w:after="0" w:line="128" w:lineRule="exact"/>
        <w:rPr>
          <w:sz w:val="20"/>
          <w:szCs w:val="20"/>
          <w:color w:val="auto"/>
        </w:rPr>
      </w:pPr>
    </w:p>
    <w:p>
      <w:pPr>
        <w:ind w:firstLine="648"/>
        <w:spacing w:after="0" w:line="203"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Early Opt-in Effective Date</w:t>
      </w:r>
      <w:r>
        <w:rPr>
          <w:rFonts w:ascii="Arial" w:cs="Arial" w:eastAsia="Arial" w:hAnsi="Arial"/>
          <w:sz w:val="20"/>
          <w:szCs w:val="20"/>
          <w:u w:val="single" w:color="auto"/>
          <w:color w:val="0000FF"/>
        </w:rPr>
        <w:t>” means, with respect to any Early Opt-in Election, the sixth (6</w:t>
      </w:r>
      <w:r>
        <w:rPr>
          <w:rFonts w:ascii="Arial" w:cs="Arial" w:eastAsia="Arial" w:hAnsi="Arial"/>
          <w:sz w:val="25"/>
          <w:szCs w:val="25"/>
          <w:u w:val="single" w:color="auto"/>
          <w:color w:val="0000FF"/>
          <w:vertAlign w:val="superscript"/>
        </w:rPr>
        <w:t>th</w:t>
      </w:r>
      <w:r>
        <w:rPr>
          <w:rFonts w:ascii="Arial" w:cs="Arial" w:eastAsia="Arial" w:hAnsi="Arial"/>
          <w:sz w:val="20"/>
          <w:szCs w:val="20"/>
          <w:u w:val="single" w:color="auto"/>
          <w:color w:val="0000FF"/>
        </w:rPr>
        <w:t>)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Early Opt-in Election</w:t>
      </w:r>
      <w:r>
        <w:rPr>
          <w:rFonts w:ascii="Arial" w:cs="Arial" w:eastAsia="Arial" w:hAnsi="Arial"/>
          <w:sz w:val="20"/>
          <w:szCs w:val="20"/>
          <w:color w:val="auto"/>
        </w:rPr>
        <w:t>” means the occurrence of:</w:t>
      </w:r>
    </w:p>
    <w:p>
      <w:pPr>
        <w:spacing w:after="0" w:line="162" w:lineRule="exact"/>
        <w:rPr>
          <w:sz w:val="20"/>
          <w:szCs w:val="20"/>
          <w:color w:val="auto"/>
        </w:rPr>
      </w:pPr>
    </w:p>
    <w:p>
      <w:pPr>
        <w:ind w:left="660" w:right="160" w:firstLine="644"/>
        <w:spacing w:after="0" w:line="207" w:lineRule="auto"/>
        <w:tabs>
          <w:tab w:leader="none" w:pos="1736" w:val="left"/>
        </w:tabs>
        <w:numPr>
          <w:ilvl w:val="0"/>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i) a determination by the Administrative Agent or (ii) a notification by the Required Lenders to the Administrative</w:t>
      </w:r>
      <w:r>
        <w:rPr>
          <w:rFonts w:ascii="Arial" w:cs="Arial" w:eastAsia="Arial" w:hAnsi="Arial"/>
          <w:sz w:val="20"/>
          <w:szCs w:val="20"/>
          <w:color w:val="auto"/>
        </w:rPr>
        <w:t xml:space="preserve"> </w:t>
      </w:r>
      <w:r>
        <w:rPr>
          <w:rFonts w:ascii="Arial" w:cs="Arial" w:eastAsia="Arial" w:hAnsi="Arial"/>
          <w:sz w:val="20"/>
          <w:szCs w:val="20"/>
          <w:color w:val="FF0000"/>
          <w:strike w:val="1"/>
        </w:rPr>
        <w:t>Agent (with a copy to the Company) that the Required Lenders have determined that U.S. dollar denominated</w:t>
      </w:r>
      <w:r>
        <w:rPr>
          <w:rFonts w:ascii="Arial" w:cs="Arial" w:eastAsia="Arial" w:hAnsi="Arial"/>
          <w:sz w:val="20"/>
          <w:szCs w:val="20"/>
          <w:u w:val="single" w:color="auto"/>
          <w:color w:val="0000FF"/>
          <w:strike w:val="1"/>
        </w:rPr>
        <w:t>x) with respect to any</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 xml:space="preserve">Loans denominated in U.S. Dollars, a notification by the Administrative Agent to (or the request by the Company to the Administrative Agent to notify) each of the other parties hereto that at least five currently outstanding U.S. Dollar-denominated </w:t>
      </w:r>
      <w:r>
        <w:rPr>
          <w:rFonts w:ascii="Arial" w:cs="Arial" w:eastAsia="Arial" w:hAnsi="Arial"/>
          <w:sz w:val="20"/>
          <w:szCs w:val="20"/>
          <w:color w:val="000000"/>
          <w:strike w:val="1"/>
        </w:rPr>
        <w:t xml:space="preserve">syndicated credit facilities </w:t>
      </w:r>
      <w:r>
        <w:rPr>
          <w:rFonts w:ascii="Arial" w:cs="Arial" w:eastAsia="Arial" w:hAnsi="Arial"/>
          <w:sz w:val="20"/>
          <w:szCs w:val="20"/>
          <w:color w:val="FF0000"/>
          <w:strike w:val="1"/>
        </w:rPr>
        <w:t>being executed</w:t>
      </w:r>
      <w:r>
        <w:rPr>
          <w:rFonts w:ascii="Arial" w:cs="Arial" w:eastAsia="Arial" w:hAnsi="Arial"/>
          <w:sz w:val="20"/>
          <w:szCs w:val="20"/>
          <w:color w:val="000000"/>
          <w:strike w:val="1"/>
        </w:rPr>
        <w:t xml:space="preserve"> at such time</w:t>
      </w:r>
      <w:r>
        <w:rPr>
          <w:rFonts w:ascii="Arial" w:cs="Arial" w:eastAsia="Arial" w:hAnsi="Arial"/>
          <w:sz w:val="20"/>
          <w:szCs w:val="20"/>
          <w:color w:val="FF0000"/>
          <w:strike w:val="1"/>
        </w:rPr>
        <w:t>, or that include language similar to that contained in this Section 2.23 are</w:t>
      </w:r>
      <w:r>
        <w:rPr>
          <w:rFonts w:ascii="Arial" w:cs="Arial" w:eastAsia="Arial" w:hAnsi="Arial"/>
          <w:sz w:val="20"/>
          <w:szCs w:val="20"/>
          <w:color w:val="000000"/>
          <w:strike w:val="1"/>
        </w:rPr>
        <w:t xml:space="preserve"> </w:t>
      </w:r>
      <w:r>
        <w:rPr>
          <w:rFonts w:ascii="Arial" w:cs="Arial" w:eastAsia="Arial" w:hAnsi="Arial"/>
          <w:sz w:val="20"/>
          <w:szCs w:val="20"/>
          <w:color w:val="FF0000"/>
          <w:strike w:val="1"/>
        </w:rPr>
        <w:t>being executed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-67-</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112" w:name="page113"/>
    <w:bookmarkEnd w:id="112"/>
    <w:p>
      <w:pPr>
        <w:ind w:left="660" w:right="160"/>
        <w:spacing w:after="0" w:line="217" w:lineRule="auto"/>
        <w:rPr>
          <w:sz w:val="20"/>
          <w:szCs w:val="20"/>
          <w:color w:val="auto"/>
        </w:rPr>
      </w:pPr>
      <w:r>
        <w:rPr>
          <w:rFonts w:ascii="Arial" w:cs="Arial" w:eastAsia="Arial" w:hAnsi="Arial"/>
          <w:sz w:val="19"/>
          <w:szCs w:val="19"/>
          <w:color w:val="FF0000"/>
          <w:strike w:val="1"/>
        </w:rPr>
        <w:t xml:space="preserve">amended, as applicable, to incorporate or adopt a new </w:t>
      </w:r>
      <w:r>
        <w:rPr>
          <w:rFonts w:ascii="Arial" w:cs="Arial" w:eastAsia="Arial" w:hAnsi="Arial"/>
          <w:sz w:val="19"/>
          <w:szCs w:val="19"/>
          <w:u w:val="single" w:color="auto"/>
          <w:color w:val="0000FF"/>
          <w:strike w:val="1"/>
        </w:rPr>
        <w:t>contain (as a result of amendment or as originally executed) either a SOFR-based rate (including SOFR, a term SOFR or any other rate based upon SOFR) as a benchmark rate or an alternative</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benchmark</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interest rate to replace LIBOR</w:t>
      </w:r>
      <w:r>
        <w:rPr>
          <w:rFonts w:ascii="Arial" w:cs="Arial" w:eastAsia="Arial" w:hAnsi="Arial"/>
          <w:sz w:val="19"/>
          <w:szCs w:val="19"/>
          <w:color w:val="FF0000"/>
          <w:strike w:val="1"/>
        </w:rPr>
        <w:t>, and</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(and such syndicated credit facilities are identified in such notice and are publicly available for</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review) or (y) with respect to any Loans denominated in a Designated Foreign Currency, a notification by the Administrative Agent to (or the request by the Company to the Administrative Agent to notify) each of the other parties hereto that at least five currently outstanding U.S. syndicated credit facilities at such time contain (as a result of amendment or as originally executed) a benchmark rate other than LIBOR for such Designated Foreign Currency; and</w:t>
      </w:r>
    </w:p>
    <w:p>
      <w:pPr>
        <w:spacing w:after="0" w:line="143" w:lineRule="exact"/>
        <w:rPr>
          <w:sz w:val="20"/>
          <w:szCs w:val="20"/>
          <w:color w:val="auto"/>
        </w:rPr>
      </w:pPr>
    </w:p>
    <w:p>
      <w:pPr>
        <w:ind w:left="660" w:right="280" w:firstLine="644"/>
        <w:spacing w:after="0" w:line="213" w:lineRule="auto"/>
        <w:tabs>
          <w:tab w:leader="none" w:pos="1588" w:val="left"/>
        </w:tabs>
        <w:numPr>
          <w:ilvl w:val="0"/>
          <w:numId w:val="76"/>
        </w:numPr>
        <w:rPr>
          <w:rFonts w:ascii="Arial" w:cs="Arial" w:eastAsia="Arial" w:hAnsi="Arial"/>
          <w:sz w:val="20"/>
          <w:szCs w:val="20"/>
          <w:color w:val="auto"/>
        </w:rPr>
      </w:pPr>
      <w:r>
        <w:rPr>
          <w:rFonts w:ascii="Arial" w:cs="Arial" w:eastAsia="Arial" w:hAnsi="Arial"/>
          <w:sz w:val="20"/>
          <w:szCs w:val="20"/>
          <w:color w:val="FF0000"/>
        </w:rPr>
        <w:t xml:space="preserve">(i) </w:t>
      </w:r>
      <w:r>
        <w:rPr>
          <w:rFonts w:ascii="Arial" w:cs="Arial" w:eastAsia="Arial" w:hAnsi="Arial"/>
          <w:sz w:val="20"/>
          <w:szCs w:val="20"/>
          <w:color w:val="000000"/>
        </w:rPr>
        <w:t>the</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joint</w:t>
      </w:r>
      <w:r>
        <w:rPr>
          <w:rFonts w:ascii="Arial" w:cs="Arial" w:eastAsia="Arial" w:hAnsi="Arial"/>
          <w:sz w:val="20"/>
          <w:szCs w:val="20"/>
          <w:color w:val="FF0000"/>
        </w:rPr>
        <w:t xml:space="preserve"> </w:t>
      </w:r>
      <w:r>
        <w:rPr>
          <w:rFonts w:ascii="Arial" w:cs="Arial" w:eastAsia="Arial" w:hAnsi="Arial"/>
          <w:sz w:val="20"/>
          <w:szCs w:val="20"/>
          <w:color w:val="000000"/>
        </w:rPr>
        <w:t>election by the Administrative Agent</w:t>
      </w:r>
      <w:r>
        <w:rPr>
          <w:rFonts w:ascii="Arial" w:cs="Arial" w:eastAsia="Arial" w:hAnsi="Arial"/>
          <w:sz w:val="20"/>
          <w:szCs w:val="20"/>
          <w:color w:val="FF0000"/>
        </w:rPr>
        <w:t xml:space="preserve"> </w:t>
      </w:r>
      <w:r>
        <w:rPr>
          <w:rFonts w:ascii="Arial" w:cs="Arial" w:eastAsia="Arial" w:hAnsi="Arial"/>
          <w:sz w:val="20"/>
          <w:szCs w:val="20"/>
          <w:color w:val="FF0000"/>
          <w:strike w:val="1"/>
        </w:rPr>
        <w:t>or (ii) the election by the Required Lenders to declare that an Early</w:t>
      </w:r>
      <w:r>
        <w:rPr>
          <w:rFonts w:ascii="Arial" w:cs="Arial" w:eastAsia="Arial" w:hAnsi="Arial"/>
          <w:sz w:val="20"/>
          <w:szCs w:val="20"/>
          <w:color w:val="FF0000"/>
        </w:rPr>
        <w:t xml:space="preserve"> </w:t>
      </w:r>
      <w:r>
        <w:rPr>
          <w:rFonts w:ascii="Arial" w:cs="Arial" w:eastAsia="Arial" w:hAnsi="Arial"/>
          <w:sz w:val="20"/>
          <w:szCs w:val="20"/>
          <w:color w:val="FF0000"/>
          <w:strike w:val="1"/>
        </w:rPr>
        <w:t>Opt in Election has occurred</w:t>
      </w:r>
      <w:r>
        <w:rPr>
          <w:rFonts w:ascii="Arial" w:cs="Arial" w:eastAsia="Arial" w:hAnsi="Arial"/>
          <w:sz w:val="20"/>
          <w:szCs w:val="20"/>
          <w:u w:val="single" w:color="auto"/>
          <w:color w:val="0000FF"/>
        </w:rPr>
        <w:t>and the Company to trigger a fallback from LIBOR to such benchmark rate</w:t>
      </w:r>
      <w:r>
        <w:rPr>
          <w:rFonts w:ascii="Arial" w:cs="Arial" w:eastAsia="Arial" w:hAnsi="Arial"/>
          <w:sz w:val="20"/>
          <w:szCs w:val="20"/>
          <w:color w:val="FF0000"/>
        </w:rPr>
        <w:t xml:space="preserve"> </w:t>
      </w:r>
      <w:r>
        <w:rPr>
          <w:rFonts w:ascii="Arial" w:cs="Arial" w:eastAsia="Arial" w:hAnsi="Arial"/>
          <w:sz w:val="20"/>
          <w:szCs w:val="20"/>
          <w:color w:val="000000"/>
        </w:rPr>
        <w:t>and the provision</w:t>
      </w:r>
      <w:r>
        <w:rPr>
          <w:rFonts w:ascii="Arial" w:cs="Arial" w:eastAsia="Arial" w:hAnsi="Arial"/>
          <w:sz w:val="20"/>
          <w:szCs w:val="20"/>
          <w:color w:val="FF0000"/>
          <w:strike w:val="1"/>
        </w:rPr>
        <w:t>, as</w:t>
      </w:r>
      <w:r>
        <w:rPr>
          <w:rFonts w:ascii="Arial" w:cs="Arial" w:eastAsia="Arial" w:hAnsi="Arial"/>
          <w:sz w:val="20"/>
          <w:szCs w:val="20"/>
          <w:color w:val="FF0000"/>
        </w:rPr>
        <w:t xml:space="preserve"> </w:t>
      </w:r>
      <w:r>
        <w:rPr>
          <w:rFonts w:ascii="Arial" w:cs="Arial" w:eastAsia="Arial" w:hAnsi="Arial"/>
          <w:sz w:val="20"/>
          <w:szCs w:val="20"/>
          <w:color w:val="FF0000"/>
          <w:strike w:val="1"/>
        </w:rPr>
        <w:t>applicable,</w:t>
      </w:r>
      <w:r>
        <w:rPr>
          <w:rFonts w:ascii="Arial" w:cs="Arial" w:eastAsia="Arial" w:hAnsi="Arial"/>
          <w:sz w:val="20"/>
          <w:szCs w:val="20"/>
          <w:color w:val="FF0000"/>
        </w:rPr>
        <w:t xml:space="preserve"> </w:t>
      </w:r>
      <w:r>
        <w:rPr>
          <w:rFonts w:ascii="Arial" w:cs="Arial" w:eastAsia="Arial" w:hAnsi="Arial"/>
          <w:sz w:val="20"/>
          <w:szCs w:val="20"/>
          <w:color w:val="000000"/>
        </w:rPr>
        <w:t>by the Administrative Agent of written notice of such election to the</w:t>
      </w:r>
      <w:r>
        <w:rPr>
          <w:rFonts w:ascii="Arial" w:cs="Arial" w:eastAsia="Arial" w:hAnsi="Arial"/>
          <w:sz w:val="20"/>
          <w:szCs w:val="20"/>
          <w:color w:val="FF0000"/>
        </w:rPr>
        <w:t xml:space="preserve"> </w:t>
      </w:r>
      <w:r>
        <w:rPr>
          <w:rFonts w:ascii="Arial" w:cs="Arial" w:eastAsia="Arial" w:hAnsi="Arial"/>
          <w:sz w:val="20"/>
          <w:szCs w:val="20"/>
          <w:color w:val="FF0000"/>
          <w:strike w:val="1"/>
        </w:rPr>
        <w:t>Company and the</w:t>
      </w:r>
      <w:r>
        <w:rPr>
          <w:rFonts w:ascii="Arial" w:cs="Arial" w:eastAsia="Arial" w:hAnsi="Arial"/>
          <w:sz w:val="20"/>
          <w:szCs w:val="20"/>
          <w:color w:val="FF0000"/>
        </w:rPr>
        <w:t xml:space="preserve"> </w:t>
      </w:r>
      <w:r>
        <w:rPr>
          <w:rFonts w:ascii="Arial" w:cs="Arial" w:eastAsia="Arial" w:hAnsi="Arial"/>
          <w:sz w:val="20"/>
          <w:szCs w:val="20"/>
          <w:color w:val="000000"/>
        </w:rPr>
        <w:t>Lenders</w:t>
      </w:r>
      <w:r>
        <w:rPr>
          <w:rFonts w:ascii="Arial" w:cs="Arial" w:eastAsia="Arial" w:hAnsi="Arial"/>
          <w:sz w:val="20"/>
          <w:szCs w:val="20"/>
          <w:color w:val="FF0000"/>
        </w:rPr>
        <w:t xml:space="preserve"> or by the Required </w:t>
      </w:r>
      <w:r>
        <w:rPr>
          <w:rFonts w:ascii="Arial" w:cs="Arial" w:eastAsia="Arial" w:hAnsi="Arial"/>
          <w:sz w:val="20"/>
          <w:szCs w:val="20"/>
          <w:color w:val="FF0000"/>
          <w:strike w:val="1"/>
        </w:rPr>
        <w:t>Lenders of written notice of such election to the Administrative Agent</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-429895</wp:posOffset>
            </wp:positionV>
            <wp:extent cx="149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149860" cy="825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-189865</wp:posOffset>
            </wp:positionV>
            <wp:extent cx="9696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969645" cy="8890"/>
                    </a:xfrm>
                    <a:prstGeom prst="rect">
                      <a:avLst/>
                    </a:prstGeom>
                    <a:noFill/>
                  </pic:spPr>
                </pic:pic>
              </a:graphicData>
            </a:graphic>
          </wp:anchor>
        </w:drawing>
      </w:r>
    </w:p>
    <w:p>
      <w:pPr>
        <w:spacing w:after="0" w:line="109" w:lineRule="exact"/>
        <w:rPr>
          <w:sz w:val="20"/>
          <w:szCs w:val="20"/>
          <w:color w:val="auto"/>
        </w:rPr>
      </w:pPr>
    </w:p>
    <w:p>
      <w:pPr>
        <w:ind w:firstLine="648"/>
        <w:spacing w:after="0" w:line="215"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EURIBOR</w:t>
      </w:r>
      <w:r>
        <w:rPr>
          <w:rFonts w:ascii="Arial" w:cs="Arial" w:eastAsia="Arial" w:hAnsi="Arial"/>
          <w:sz w:val="18"/>
          <w:szCs w:val="18"/>
          <w:u w:val="single" w:color="auto"/>
          <w:color w:val="0000FF"/>
        </w:rPr>
        <w:t>” means the Euro Interbank Offered Rate as administered by the European Money Markets Institute (or any other Person that takes over administration of such rate) for a period equal in length to such Interest Period, as displayed on the applicable Reuters page (or on any successor or substitute page or service providing such quotations as determined by the Administrative Agent from time to time</w:t>
      </w:r>
      <w:r>
        <w:rPr>
          <w:rFonts w:ascii="Arial" w:cs="Arial" w:eastAsia="Arial" w:hAnsi="Arial"/>
          <w:sz w:val="25"/>
          <w:szCs w:val="25"/>
          <w:u w:val="single" w:color="auto"/>
          <w:color w:val="0000FF"/>
          <w:vertAlign w:val="superscript"/>
        </w:rPr>
        <w:t>1</w:t>
      </w:r>
      <w:r>
        <w:rPr>
          <w:rFonts w:ascii="Arial" w:cs="Arial" w:eastAsia="Arial" w:hAnsi="Arial"/>
          <w:sz w:val="18"/>
          <w:szCs w:val="18"/>
          <w:u w:val="single" w:color="auto"/>
          <w:color w:val="0000FF"/>
        </w:rPr>
        <w:t xml:space="preserve">) at approximately 11:00 a.m. (Brussels time) two Eurocurrency Banking </w:t>
      </w:r>
      <w:r>
        <w:rPr>
          <w:rFonts w:ascii="Arial" w:cs="Arial" w:eastAsia="Arial" w:hAnsi="Arial"/>
          <w:sz w:val="18"/>
          <w:szCs w:val="18"/>
          <w:u w:val="single" w:color="auto"/>
          <w:color w:val="008000"/>
        </w:rPr>
        <w:t>Days prior to the commencement of such Interest Period.</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Eurocurrency Banking Day</w:t>
      </w:r>
      <w:r>
        <w:rPr>
          <w:rFonts w:ascii="Arial" w:cs="Arial" w:eastAsia="Arial" w:hAnsi="Arial"/>
          <w:sz w:val="20"/>
          <w:szCs w:val="20"/>
          <w:u w:val="single" w:color="auto"/>
          <w:color w:val="0000FF"/>
        </w:rPr>
        <w:t>” means a TARGET Day.</w:t>
      </w:r>
    </w:p>
    <w:p>
      <w:pPr>
        <w:spacing w:after="0" w:line="162" w:lineRule="exact"/>
        <w:rPr>
          <w:sz w:val="20"/>
          <w:szCs w:val="20"/>
          <w:color w:val="auto"/>
        </w:rPr>
      </w:pPr>
    </w:p>
    <w:p>
      <w:pPr>
        <w:ind w:right="500" w:firstLine="648"/>
        <w:spacing w:after="0" w:line="229"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Floor</w:t>
      </w:r>
      <w:r>
        <w:rPr>
          <w:rFonts w:ascii="Arial" w:cs="Arial" w:eastAsia="Arial" w:hAnsi="Arial"/>
          <w:sz w:val="20"/>
          <w:szCs w:val="20"/>
          <w:u w:val="single" w:color="auto"/>
          <w:color w:val="0000FF"/>
        </w:rPr>
        <w:t>” means the benchmark rate floor, if any, provided in this Agreement initially (as of the execution of this Agreement, the modification, amendment or renewal of this Agreement or otherwise) with respect to each Relevant Rate.</w:t>
      </w:r>
    </w:p>
    <w:p>
      <w:pPr>
        <w:spacing w:after="0" w:line="128" w:lineRule="exact"/>
        <w:rPr>
          <w:sz w:val="20"/>
          <w:szCs w:val="20"/>
          <w:color w:val="auto"/>
        </w:rPr>
      </w:pPr>
    </w:p>
    <w:p>
      <w:pPr>
        <w:jc w:val="both"/>
        <w:ind w:right="20" w:firstLine="648"/>
        <w:spacing w:after="0" w:line="230"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i w:val="1"/>
          <w:iCs w:val="1"/>
          <w:u w:val="single" w:color="auto"/>
          <w:color w:val="0000FF"/>
        </w:rPr>
        <w:t>ISDA Definitions</w:t>
      </w:r>
      <w:r>
        <w:rPr>
          <w:rFonts w:ascii="Arial" w:cs="Arial" w:eastAsia="Arial" w:hAnsi="Arial"/>
          <w:sz w:val="19"/>
          <w:szCs w:val="19"/>
          <w:u w:val="single" w:color="auto"/>
          <w:color w:val="0000FF"/>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LIBOR</w:t>
      </w:r>
      <w:r>
        <w:rPr>
          <w:rFonts w:ascii="Arial" w:cs="Arial" w:eastAsia="Arial" w:hAnsi="Arial"/>
          <w:sz w:val="20"/>
          <w:szCs w:val="20"/>
          <w:u w:val="single" w:color="auto"/>
          <w:color w:val="0000FF"/>
        </w:rPr>
        <w:t>” means the London interbank offered rate for U.S. Dollars or any other Designated Foreign Currency.</w:t>
      </w:r>
    </w:p>
    <w:p>
      <w:pPr>
        <w:spacing w:after="0" w:line="162" w:lineRule="exact"/>
        <w:rPr>
          <w:sz w:val="20"/>
          <w:szCs w:val="20"/>
          <w:color w:val="auto"/>
        </w:rPr>
      </w:pPr>
    </w:p>
    <w:p>
      <w:pPr>
        <w:ind w:right="580" w:firstLine="648"/>
        <w:spacing w:after="0" w:line="229"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Relevant Governmental Body</w:t>
      </w:r>
      <w:r>
        <w:rPr>
          <w:rFonts w:ascii="Arial" w:cs="Arial" w:eastAsia="Arial" w:hAnsi="Arial"/>
          <w:sz w:val="20"/>
          <w:szCs w:val="20"/>
          <w:u w:val="single" w:color="auto"/>
          <w:color w:val="0000FF"/>
        </w:rPr>
        <w:t xml:space="preserve">” means (i) with respect to a Benchmark Replacement in respect of Loans denominated in U.S. Dollars, </w:t>
      </w:r>
      <w:r>
        <w:rPr>
          <w:rFonts w:ascii="Arial" w:cs="Arial" w:eastAsia="Arial" w:hAnsi="Arial"/>
          <w:sz w:val="20"/>
          <w:szCs w:val="20"/>
          <w:u w:val="single" w:color="auto"/>
          <w:color w:val="008000"/>
        </w:rPr>
        <w:t>the Federal Reserve Board and/or the</w:t>
      </w:r>
      <w:r>
        <w:rPr>
          <w:rFonts w:ascii="Arial" w:cs="Arial" w:eastAsia="Arial" w:hAnsi="Arial"/>
          <w:sz w:val="20"/>
          <w:szCs w:val="20"/>
          <w:u w:val="single" w:color="auto"/>
          <w:color w:val="0000FF"/>
        </w:rPr>
        <w:t xml:space="preserve"> NYFRB</w:t>
      </w:r>
      <w:r>
        <w:rPr>
          <w:rFonts w:ascii="Arial" w:cs="Arial" w:eastAsia="Arial" w:hAnsi="Arial"/>
          <w:sz w:val="20"/>
          <w:szCs w:val="20"/>
          <w:u w:val="single" w:color="auto"/>
          <w:color w:val="008000"/>
        </w:rPr>
        <w:t>, or a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714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780" w:hanging="124"/>
        <w:spacing w:after="0"/>
        <w:tabs>
          <w:tab w:leader="none" w:pos="780" w:val="left"/>
        </w:tabs>
        <w:numPr>
          <w:ilvl w:val="0"/>
          <w:numId w:val="77"/>
        </w:numPr>
        <w:rPr>
          <w:rFonts w:ascii="Arial" w:cs="Arial" w:eastAsia="Arial" w:hAnsi="Arial"/>
          <w:sz w:val="28"/>
          <w:szCs w:val="28"/>
          <w:u w:val="single" w:color="auto"/>
          <w:color w:val="0000FF"/>
          <w:vertAlign w:val="superscript"/>
        </w:rPr>
      </w:pPr>
      <w:r>
        <w:rPr>
          <w:rFonts w:ascii="Arial" w:cs="Arial" w:eastAsia="Arial" w:hAnsi="Arial"/>
          <w:sz w:val="18"/>
          <w:szCs w:val="18"/>
          <w:u w:val="single" w:color="auto"/>
          <w:color w:val="0000FF"/>
        </w:rPr>
        <w:t>NTD: Definition 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-68-</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113" w:name="page114"/>
    <w:bookmarkEnd w:id="113"/>
    <w:p>
      <w:pPr>
        <w:spacing w:after="0" w:line="224" w:lineRule="auto"/>
        <w:rPr>
          <w:sz w:val="20"/>
          <w:szCs w:val="20"/>
          <w:color w:val="auto"/>
        </w:rPr>
      </w:pPr>
      <w:r>
        <w:rPr>
          <w:rFonts w:ascii="Arial" w:cs="Arial" w:eastAsia="Arial" w:hAnsi="Arial"/>
          <w:sz w:val="18"/>
          <w:szCs w:val="18"/>
          <w:u w:val="single" w:color="auto"/>
          <w:color w:val="008000"/>
        </w:rPr>
        <w:t xml:space="preserve">officially endorsed or convened by the Federal Reserve Board and/or the </w:t>
      </w:r>
      <w:r>
        <w:rPr>
          <w:rFonts w:ascii="Arial" w:cs="Arial" w:eastAsia="Arial" w:hAnsi="Arial"/>
          <w:sz w:val="18"/>
          <w:szCs w:val="18"/>
          <w:u w:val="single" w:color="auto"/>
          <w:color w:val="0000FF"/>
        </w:rPr>
        <w:t>NYFRB or, in each case, any successor thereto, (ii) with respect to a</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rPr>
        <w:t>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Swiss Francs, the Swiss National Bank, or a committee officially endorsed or convened by the Swiss National Bank or, in each case, any successor thereto, (v) with respect to a Benchmark Replacement in respect of Loans denominated in Yen, the Bank of Japan, or a committee officially endorsed or convened by the Bank of Japan or, in each case, any successor thereto, and (vi) with respect to a Benchmark Replacement in respect of Loans denominated in any other Designated Foreign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44" w:lineRule="exact"/>
        <w:rPr>
          <w:sz w:val="20"/>
          <w:szCs w:val="20"/>
          <w:color w:val="auto"/>
        </w:rPr>
      </w:pPr>
    </w:p>
    <w:p>
      <w:pPr>
        <w:ind w:right="100" w:firstLine="648"/>
        <w:spacing w:after="0" w:line="213"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Relevant Rate</w:t>
      </w:r>
      <w:r>
        <w:rPr>
          <w:rFonts w:ascii="Arial" w:cs="Arial" w:eastAsia="Arial" w:hAnsi="Arial"/>
          <w:sz w:val="20"/>
          <w:szCs w:val="20"/>
          <w:u w:val="single" w:color="auto"/>
          <w:color w:val="0000FF"/>
        </w:rPr>
        <w:t>” means (i) with respect to any Eurodollar Borrowing denominated in U.S. Dollars, USD LIBOR, (ii) with respect to any Foreign Currency Borrowing denominated in Canadian Dollars, the CDOR Rate, and (iii) with respect to any Foreign Currency Borrowing denominated in a Foreign Currency other than Canadian Dollars, the applicable rate described in the definition of Adjusted Foreign Currency Rate.</w:t>
      </w:r>
    </w:p>
    <w:p>
      <w:pPr>
        <w:spacing w:after="0" w:line="129" w:lineRule="exact"/>
        <w:rPr>
          <w:sz w:val="20"/>
          <w:szCs w:val="20"/>
          <w:color w:val="auto"/>
        </w:rPr>
      </w:pPr>
    </w:p>
    <w:p>
      <w:pPr>
        <w:ind w:right="140" w:firstLine="648"/>
        <w:spacing w:after="0" w:line="229"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SARON</w:t>
      </w:r>
      <w:r>
        <w:rPr>
          <w:rFonts w:ascii="Arial" w:cs="Arial" w:eastAsia="Arial" w:hAnsi="Arial"/>
          <w:sz w:val="20"/>
          <w:szCs w:val="20"/>
          <w:u w:val="single" w:color="auto"/>
          <w:color w:val="0000FF"/>
        </w:rPr>
        <w:t>” means, with respect to any Business Day, a rate per annum equal to the Swiss Average Rate Overnight for such Business Day published by the SARON Administrator on the SARON Administrator’s Website.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i w:val="1"/>
          <w:iCs w:val="1"/>
          <w:u w:val="single" w:color="auto"/>
          <w:color w:val="0000FF"/>
        </w:rPr>
        <w:t>SARON Administrator</w:t>
      </w:r>
      <w:r>
        <w:rPr>
          <w:rFonts w:ascii="Arial" w:cs="Arial" w:eastAsia="Arial" w:hAnsi="Arial"/>
          <w:sz w:val="16"/>
          <w:szCs w:val="16"/>
          <w:u w:val="single" w:color="auto"/>
          <w:color w:val="0000FF"/>
        </w:rPr>
        <w:t>” means the SIX Swiss Exchange AG (or any successor administrator of the Swiss Average Rate Overnight).</w:t>
      </w:r>
    </w:p>
    <w:p>
      <w:pPr>
        <w:spacing w:after="0" w:line="208" w:lineRule="exact"/>
        <w:rPr>
          <w:sz w:val="20"/>
          <w:szCs w:val="20"/>
          <w:color w:val="auto"/>
        </w:rPr>
      </w:pPr>
    </w:p>
    <w:p>
      <w:pPr>
        <w:ind w:right="520" w:firstLine="648"/>
        <w:spacing w:after="0" w:line="269"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SARON Administrator’s Website</w:t>
      </w:r>
      <w:r>
        <w:rPr>
          <w:rFonts w:ascii="Arial" w:cs="Arial" w:eastAsia="Arial" w:hAnsi="Arial"/>
          <w:sz w:val="18"/>
          <w:szCs w:val="18"/>
          <w:u w:val="single" w:color="auto"/>
          <w:color w:val="0000FF"/>
        </w:rPr>
        <w:t>” means SIX Swiss Exchange AG’s website, currently at https://www.six-group.com, or any successor source for the Swiss Average Rate Overnight identified as such by the SARON Administrator from time to time.</w:t>
      </w:r>
    </w:p>
    <w:p>
      <w:pPr>
        <w:spacing w:after="0" w:line="103" w:lineRule="exact"/>
        <w:rPr>
          <w:sz w:val="20"/>
          <w:szCs w:val="20"/>
          <w:color w:val="auto"/>
        </w:rPr>
      </w:pPr>
    </w:p>
    <w:p>
      <w:pPr>
        <w:ind w:right="120" w:firstLine="648"/>
        <w:spacing w:after="0" w:line="210"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SOFR</w:t>
      </w:r>
      <w:r>
        <w:rPr>
          <w:rFonts w:ascii="Arial" w:cs="Arial" w:eastAsia="Arial" w:hAnsi="Arial"/>
          <w:sz w:val="20"/>
          <w:szCs w:val="20"/>
          <w:u w:val="single" w:color="auto"/>
          <w:color w:val="0000FF"/>
        </w:rPr>
        <w:t>” means, for any Business Day, a rate per annum equal to the secured overnight financing rate for such Business Day published by the</w:t>
      </w:r>
      <w:r>
        <w:rPr>
          <w:rFonts w:ascii="Arial" w:cs="Arial" w:eastAsia="Arial" w:hAnsi="Arial"/>
          <w:sz w:val="20"/>
          <w:szCs w:val="20"/>
          <w:color w:val="0000FF"/>
        </w:rPr>
        <w:t xml:space="preserve"> </w:t>
      </w:r>
      <w:r>
        <w:rPr>
          <w:rFonts w:ascii="Arial" w:cs="Arial" w:eastAsia="Arial" w:hAnsi="Arial"/>
          <w:sz w:val="20"/>
          <w:szCs w:val="20"/>
          <w:color w:val="000000"/>
        </w:rPr>
        <w:t>Federal Reserve Bank of New</w:t>
      </w:r>
      <w:r>
        <w:rPr>
          <w:rFonts w:ascii="Arial" w:cs="Arial" w:eastAsia="Arial" w:hAnsi="Arial"/>
          <w:sz w:val="20"/>
          <w:szCs w:val="20"/>
          <w:color w:val="0000FF"/>
        </w:rPr>
        <w:t xml:space="preserve"> </w:t>
      </w:r>
      <w:r>
        <w:rPr>
          <w:rFonts w:ascii="Arial" w:cs="Arial" w:eastAsia="Arial" w:hAnsi="Arial"/>
          <w:sz w:val="20"/>
          <w:szCs w:val="20"/>
          <w:b w:val="1"/>
          <w:bCs w:val="1"/>
          <w:i w:val="1"/>
          <w:iCs w:val="1"/>
          <w:color w:val="FF0000"/>
          <w:strike w:val="1"/>
        </w:rPr>
        <w:t>York’s Website</w:t>
      </w:r>
      <w:r>
        <w:rPr>
          <w:rFonts w:ascii="Arial" w:cs="Arial" w:eastAsia="Arial" w:hAnsi="Arial"/>
          <w:sz w:val="20"/>
          <w:szCs w:val="20"/>
          <w:color w:val="FF0000"/>
          <w:strike w:val="1"/>
        </w:rPr>
        <w:t>” means</w:t>
      </w:r>
      <w:r>
        <w:rPr>
          <w:rFonts w:ascii="Arial" w:cs="Arial" w:eastAsia="Arial" w:hAnsi="Arial"/>
          <w:sz w:val="20"/>
          <w:szCs w:val="20"/>
          <w:u w:val="single" w:color="auto"/>
          <w:color w:val="0000FF"/>
        </w:rPr>
        <w:t>York (or a successor administrator of the secured overnight financing</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rate) on</w:t>
      </w:r>
      <w:r>
        <w:rPr>
          <w:rFonts w:ascii="Arial" w:cs="Arial" w:eastAsia="Arial" w:hAnsi="Arial"/>
          <w:sz w:val="20"/>
          <w:szCs w:val="20"/>
          <w:color w:val="0000FF"/>
        </w:rPr>
        <w:t xml:space="preserve"> </w:t>
      </w:r>
      <w:r>
        <w:rPr>
          <w:rFonts w:ascii="Arial" w:cs="Arial" w:eastAsia="Arial" w:hAnsi="Arial"/>
          <w:sz w:val="20"/>
          <w:szCs w:val="20"/>
          <w:color w:val="000000"/>
        </w:rPr>
        <w:t>the website of the Federal Reserve Bank of New York</w:t>
      </w:r>
      <w:r>
        <w:rPr>
          <w:rFonts w:ascii="Arial" w:cs="Arial" w:eastAsia="Arial" w:hAnsi="Arial"/>
          <w:sz w:val="20"/>
          <w:szCs w:val="20"/>
          <w:u w:val="single" w:color="auto"/>
          <w:color w:val="0000FF"/>
        </w:rPr>
        <w:t>, currently</w:t>
      </w:r>
      <w:r>
        <w:rPr>
          <w:rFonts w:ascii="Arial" w:cs="Arial" w:eastAsia="Arial" w:hAnsi="Arial"/>
          <w:sz w:val="20"/>
          <w:szCs w:val="20"/>
          <w:color w:val="0000FF"/>
        </w:rPr>
        <w:t xml:space="preserve"> </w:t>
      </w:r>
      <w:r>
        <w:rPr>
          <w:rFonts w:ascii="Arial" w:cs="Arial" w:eastAsia="Arial" w:hAnsi="Arial"/>
          <w:sz w:val="20"/>
          <w:szCs w:val="20"/>
          <w:color w:val="000000"/>
        </w:rPr>
        <w:t>at</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http://www.newyorkfed.org</w:t>
      </w:r>
      <w:r>
        <w:rPr>
          <w:rFonts w:ascii="Arial" w:cs="Arial" w:eastAsia="Arial" w:hAnsi="Arial"/>
          <w:sz w:val="20"/>
          <w:szCs w:val="20"/>
          <w:color w:val="FF0000"/>
          <w:strike w:val="1"/>
        </w:rPr>
        <w:t>,</w:t>
      </w:r>
      <w:r>
        <w:rPr>
          <w:rFonts w:ascii="Arial" w:cs="Arial" w:eastAsia="Arial" w:hAnsi="Arial"/>
          <w:sz w:val="20"/>
          <w:szCs w:val="20"/>
          <w:u w:val="single" w:color="auto"/>
          <w:color w:val="0000FF"/>
        </w:rPr>
        <w:t>. (</w:t>
      </w:r>
      <w:r>
        <w:rPr>
          <w:rFonts w:ascii="Arial" w:cs="Arial" w:eastAsia="Arial" w:hAnsi="Arial"/>
          <w:sz w:val="20"/>
          <w:szCs w:val="20"/>
          <w:color w:val="000000"/>
        </w:rPr>
        <w:t>or any successor source</w:t>
      </w:r>
      <w:r>
        <w:rPr>
          <w:rFonts w:ascii="Arial" w:cs="Arial" w:eastAsia="Arial" w:hAnsi="Arial"/>
          <w:sz w:val="20"/>
          <w:szCs w:val="20"/>
          <w:color w:val="0000FF"/>
        </w:rPr>
        <w:t xml:space="preserve"> for the </w:t>
      </w:r>
      <w:r>
        <w:rPr>
          <w:rFonts w:ascii="Arial" w:cs="Arial" w:eastAsia="Arial" w:hAnsi="Arial"/>
          <w:sz w:val="20"/>
          <w:szCs w:val="20"/>
          <w:u w:val="single" w:color="auto"/>
          <w:color w:val="0000FF"/>
        </w:rPr>
        <w:t>secured overnight financing rate identified as such by the administrator of the secured overnight financing rate from time to time), on the immediately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6522720</wp:posOffset>
            </wp:positionH>
            <wp:positionV relativeFrom="paragraph">
              <wp:posOffset>-267335</wp:posOffset>
            </wp:positionV>
            <wp:extent cx="3625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362585" cy="8255"/>
                    </a:xfrm>
                    <a:prstGeom prst="rect">
                      <a:avLst/>
                    </a:prstGeom>
                    <a:noFill/>
                  </pic:spPr>
                </pic:pic>
              </a:graphicData>
            </a:graphic>
          </wp:anchor>
        </w:drawing>
      </w:r>
    </w:p>
    <w:p>
      <w:pPr>
        <w:spacing w:after="0" w:line="121" w:lineRule="exact"/>
        <w:rPr>
          <w:sz w:val="20"/>
          <w:szCs w:val="20"/>
          <w:color w:val="auto"/>
        </w:rPr>
      </w:pPr>
    </w:p>
    <w:p>
      <w:pPr>
        <w:ind w:right="280" w:firstLine="648"/>
        <w:spacing w:after="0" w:line="218"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Relevant Governmental Body</w:t>
      </w:r>
      <w:r>
        <w:rPr>
          <w:rFonts w:ascii="Arial" w:cs="Arial" w:eastAsia="Arial" w:hAnsi="Arial"/>
          <w:sz w:val="20"/>
          <w:szCs w:val="20"/>
          <w:color w:val="FF0000"/>
          <w:strike w:val="1"/>
        </w:rPr>
        <w:t xml:space="preserve">” means </w:t>
      </w:r>
      <w:r>
        <w:rPr>
          <w:rFonts w:ascii="Arial" w:cs="Arial" w:eastAsia="Arial" w:hAnsi="Arial"/>
          <w:sz w:val="20"/>
          <w:szCs w:val="20"/>
          <w:color w:val="008000"/>
          <w:strike w:val="1"/>
        </w:rPr>
        <w:t>the Federal Reserve Board and/or the</w:t>
      </w:r>
      <w:r>
        <w:rPr>
          <w:rFonts w:ascii="Arial" w:cs="Arial" w:eastAsia="Arial" w:hAnsi="Arial"/>
          <w:sz w:val="20"/>
          <w:szCs w:val="20"/>
          <w:color w:val="FF0000"/>
          <w:strike w:val="1"/>
        </w:rPr>
        <w:t xml:space="preserve"> Federal Reserve Bank of New York</w:t>
      </w:r>
      <w:r>
        <w:rPr>
          <w:rFonts w:ascii="Arial" w:cs="Arial" w:eastAsia="Arial" w:hAnsi="Arial"/>
          <w:sz w:val="20"/>
          <w:szCs w:val="20"/>
          <w:color w:val="008000"/>
          <w:strike w:val="1"/>
        </w:rPr>
        <w:t>, or a committee</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officially endorsed or convened by the Federal Reserve Board and/or the </w:t>
      </w:r>
      <w:r>
        <w:rPr>
          <w:rFonts w:ascii="Arial" w:cs="Arial" w:eastAsia="Arial" w:hAnsi="Arial"/>
          <w:sz w:val="20"/>
          <w:szCs w:val="20"/>
          <w:color w:val="FF0000"/>
          <w:strike w:val="1"/>
        </w:rPr>
        <w:t>Federal Reserve Bank of New York or any successor thereto,</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including without limitation the Alternative Reference Rates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-26670</wp:posOffset>
            </wp:positionV>
            <wp:extent cx="31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23" w:lineRule="exact"/>
        <w:rPr>
          <w:sz w:val="20"/>
          <w:szCs w:val="20"/>
          <w:color w:val="auto"/>
        </w:rPr>
      </w:pPr>
    </w:p>
    <w:p>
      <w:pPr>
        <w:ind w:right="220" w:firstLine="648"/>
        <w:spacing w:after="0" w:line="229"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b w:val="1"/>
          <w:bCs w:val="1"/>
          <w:i w:val="1"/>
          <w:iCs w:val="1"/>
          <w:color w:val="FF0000"/>
          <w:strike w:val="1"/>
        </w:rPr>
        <w:t>SOFR</w:t>
      </w:r>
      <w:r>
        <w:rPr>
          <w:rFonts w:ascii="Arial" w:cs="Arial" w:eastAsia="Arial" w:hAnsi="Arial"/>
          <w:sz w:val="20"/>
          <w:szCs w:val="20"/>
          <w:color w:val="FF0000"/>
          <w:strike w:val="1"/>
        </w:rPr>
        <w:t>”</w:t>
      </w:r>
      <w:r>
        <w:rPr>
          <w:rFonts w:ascii="Arial" w:cs="Arial" w:eastAsia="Arial" w:hAnsi="Arial"/>
          <w:sz w:val="20"/>
          <w:szCs w:val="20"/>
          <w:b w:val="1"/>
          <w:bCs w:val="1"/>
          <w:i w:val="1"/>
          <w:iCs w:val="1"/>
          <w:u w:val="single" w:color="auto"/>
          <w:color w:val="0000FF"/>
        </w:rPr>
        <w:t>SONIA</w:t>
      </w:r>
      <w:r>
        <w:rPr>
          <w:rFonts w:ascii="Arial" w:cs="Arial" w:eastAsia="Arial" w:hAnsi="Arial"/>
          <w:sz w:val="20"/>
          <w:szCs w:val="20"/>
          <w:u w:val="single" w:color="auto"/>
          <w:color w:val="0000FF"/>
        </w:rPr>
        <w:t>” means,</w:t>
      </w:r>
      <w:r>
        <w:rPr>
          <w:rFonts w:ascii="Arial" w:cs="Arial" w:eastAsia="Arial" w:hAnsi="Arial"/>
          <w:sz w:val="20"/>
          <w:szCs w:val="20"/>
          <w:color w:val="FF0000"/>
        </w:rPr>
        <w:t xml:space="preserve"> </w:t>
      </w:r>
      <w:r>
        <w:rPr>
          <w:rFonts w:ascii="Arial" w:cs="Arial" w:eastAsia="Arial" w:hAnsi="Arial"/>
          <w:sz w:val="20"/>
          <w:szCs w:val="20"/>
          <w:color w:val="000000"/>
        </w:rPr>
        <w:t>with respect to any</w:t>
      </w:r>
      <w:r>
        <w:rPr>
          <w:rFonts w:ascii="Arial" w:cs="Arial" w:eastAsia="Arial" w:hAnsi="Arial"/>
          <w:sz w:val="20"/>
          <w:szCs w:val="20"/>
          <w:color w:val="FF0000"/>
        </w:rPr>
        <w:t xml:space="preserve"> </w:t>
      </w:r>
      <w:r>
        <w:rPr>
          <w:rFonts w:ascii="Arial" w:cs="Arial" w:eastAsia="Arial" w:hAnsi="Arial"/>
          <w:sz w:val="20"/>
          <w:szCs w:val="20"/>
          <w:color w:val="FF0000"/>
          <w:strike w:val="1"/>
        </w:rPr>
        <w:t>day means the secured overnight financing rate published for such day by</w:t>
      </w:r>
      <w:r>
        <w:rPr>
          <w:rFonts w:ascii="Arial" w:cs="Arial" w:eastAsia="Arial" w:hAnsi="Arial"/>
          <w:sz w:val="20"/>
          <w:szCs w:val="20"/>
          <w:color w:val="FF0000"/>
        </w:rPr>
        <w:t xml:space="preserve"> </w:t>
      </w:r>
      <w:r>
        <w:rPr>
          <w:rFonts w:ascii="Arial" w:cs="Arial" w:eastAsia="Arial" w:hAnsi="Arial"/>
          <w:sz w:val="20"/>
          <w:szCs w:val="20"/>
          <w:color w:val="008000"/>
          <w:strike w:val="1"/>
        </w:rPr>
        <w:t>the Federal</w:t>
      </w:r>
      <w:r>
        <w:rPr>
          <w:rFonts w:ascii="Arial" w:cs="Arial" w:eastAsia="Arial" w:hAnsi="Arial"/>
          <w:sz w:val="20"/>
          <w:szCs w:val="20"/>
          <w:color w:val="FF0000"/>
        </w:rPr>
        <w:t xml:space="preserve"> </w:t>
      </w:r>
      <w:r>
        <w:rPr>
          <w:rFonts w:ascii="Arial" w:cs="Arial" w:eastAsia="Arial" w:hAnsi="Arial"/>
          <w:sz w:val="20"/>
          <w:szCs w:val="20"/>
          <w:color w:val="008000"/>
          <w:strike w:val="1"/>
        </w:rPr>
        <w:t>Reserve Bank of New York</w:t>
      </w:r>
      <w:r>
        <w:rPr>
          <w:rFonts w:ascii="Arial" w:cs="Arial" w:eastAsia="Arial" w:hAnsi="Arial"/>
          <w:sz w:val="20"/>
          <w:szCs w:val="20"/>
          <w:color w:val="FF0000"/>
          <w:strike w:val="1"/>
        </w:rPr>
        <w:t>, as the administrator of the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-69-</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114" w:name="page115"/>
    <w:bookmarkEnd w:id="114"/>
    <w:p>
      <w:pPr>
        <w:ind w:right="300"/>
        <w:spacing w:after="0" w:line="242" w:lineRule="auto"/>
        <w:rPr>
          <w:sz w:val="20"/>
          <w:szCs w:val="20"/>
          <w:color w:val="auto"/>
        </w:rPr>
      </w:pPr>
      <w:r>
        <w:rPr>
          <w:rFonts w:ascii="Arial" w:cs="Arial" w:eastAsia="Arial" w:hAnsi="Arial"/>
          <w:sz w:val="19"/>
          <w:szCs w:val="19"/>
          <w:color w:val="FF0000"/>
          <w:strike w:val="1"/>
        </w:rPr>
        <w:t xml:space="preserve">(or a successor administrator) on the Federal Reserve Bank of New York’s </w:t>
      </w:r>
      <w:r>
        <w:rPr>
          <w:rFonts w:ascii="Arial" w:cs="Arial" w:eastAsia="Arial" w:hAnsi="Arial"/>
          <w:sz w:val="19"/>
          <w:szCs w:val="19"/>
          <w:u w:val="single" w:color="auto"/>
          <w:color w:val="0000FF"/>
          <w:strike w:val="1"/>
        </w:rPr>
        <w:t>Business Day, a</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8000"/>
          <w:strike w:val="1"/>
        </w:rPr>
        <w:t>rate per annum equal to the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Sterling Overnight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Index Average for such Business Day published by the SONIA Administrator on the SONIA Administrator’s</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Website.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SONIA Administrator</w:t>
      </w:r>
      <w:r>
        <w:rPr>
          <w:rFonts w:ascii="Arial" w:cs="Arial" w:eastAsia="Arial" w:hAnsi="Arial"/>
          <w:sz w:val="18"/>
          <w:szCs w:val="18"/>
          <w:u w:val="single" w:color="auto"/>
          <w:color w:val="0000FF"/>
        </w:rPr>
        <w:t>” means the Bank of England (or any successor administrator of the Sterling Overnight Index Average).</w:t>
      </w:r>
    </w:p>
    <w:p>
      <w:pPr>
        <w:spacing w:after="0" w:line="171" w:lineRule="exact"/>
        <w:rPr>
          <w:sz w:val="20"/>
          <w:szCs w:val="20"/>
          <w:color w:val="auto"/>
        </w:rPr>
      </w:pPr>
    </w:p>
    <w:p>
      <w:pPr>
        <w:ind w:right="500" w:firstLine="648"/>
        <w:spacing w:after="0" w:line="269" w:lineRule="auto"/>
        <w:rPr>
          <w:sz w:val="20"/>
          <w:szCs w:val="20"/>
          <w:color w:val="auto"/>
        </w:rPr>
      </w:pPr>
      <w:r>
        <w:rPr>
          <w:rFonts w:ascii="Arial" w:cs="Arial" w:eastAsia="Arial" w:hAnsi="Arial"/>
          <w:sz w:val="18"/>
          <w:szCs w:val="18"/>
          <w:i w:val="1"/>
          <w:iCs w:val="1"/>
          <w:u w:val="single" w:color="auto"/>
          <w:color w:val="0000FF"/>
        </w:rPr>
        <w:t>“</w:t>
      </w:r>
      <w:r>
        <w:rPr>
          <w:rFonts w:ascii="Arial" w:cs="Arial" w:eastAsia="Arial" w:hAnsi="Arial"/>
          <w:sz w:val="18"/>
          <w:szCs w:val="18"/>
          <w:b w:val="1"/>
          <w:bCs w:val="1"/>
          <w:i w:val="1"/>
          <w:iCs w:val="1"/>
          <w:u w:val="single" w:color="auto"/>
          <w:color w:val="0000FF"/>
        </w:rPr>
        <w:t>SONIA Administrator’s Website</w:t>
      </w:r>
      <w:r>
        <w:rPr>
          <w:rFonts w:ascii="Arial" w:cs="Arial" w:eastAsia="Arial" w:hAnsi="Arial"/>
          <w:sz w:val="18"/>
          <w:szCs w:val="18"/>
          <w:u w:val="single" w:color="auto"/>
          <w:color w:val="0000FF"/>
        </w:rPr>
        <w:t>” means the Bank of England’s website, currently at http://www.bankofengland.co.uk, or any</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successor source for the Sterling Overnight Index Average identified as such by the SONIA Administrator from time to time.</w:t>
      </w:r>
    </w:p>
    <w:p>
      <w:pPr>
        <w:spacing w:after="0" w:line="117" w:lineRule="exact"/>
        <w:rPr>
          <w:sz w:val="20"/>
          <w:szCs w:val="20"/>
          <w:color w:val="auto"/>
        </w:rPr>
      </w:pPr>
    </w:p>
    <w:p>
      <w:pPr>
        <w:ind w:right="500" w:firstLine="648"/>
        <w:spacing w:after="0" w:line="229"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TARGET2</w:t>
      </w:r>
      <w:r>
        <w:rPr>
          <w:rFonts w:ascii="Arial" w:cs="Arial" w:eastAsia="Arial" w:hAnsi="Arial"/>
          <w:sz w:val="20"/>
          <w:szCs w:val="20"/>
          <w:u w:val="single" w:color="auto"/>
          <w:color w:val="0000FF"/>
        </w:rPr>
        <w:t>” means Trans-European Automated Real-time Gross Settlement Express Transfer payment system which utilizes a single shared platform and which was launched on November 19, 2007.</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TARGET Day</w:t>
      </w:r>
      <w:r>
        <w:rPr>
          <w:rFonts w:ascii="Arial" w:cs="Arial" w:eastAsia="Arial" w:hAnsi="Arial"/>
          <w:sz w:val="20"/>
          <w:szCs w:val="20"/>
          <w:u w:val="single" w:color="auto"/>
          <w:color w:val="0000FF"/>
        </w:rPr>
        <w:t>” means any day on which TARGET2 is open for the settlement of payments in Euros.</w:t>
      </w:r>
    </w:p>
    <w:p>
      <w:pPr>
        <w:spacing w:after="0" w:line="148" w:lineRule="exact"/>
        <w:rPr>
          <w:sz w:val="20"/>
          <w:szCs w:val="20"/>
          <w:color w:val="auto"/>
        </w:rPr>
      </w:pPr>
    </w:p>
    <w:p>
      <w:pPr>
        <w:ind w:right="1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w:t>
      </w:r>
      <w:r>
        <w:rPr>
          <w:rFonts w:ascii="Arial" w:cs="Arial" w:eastAsia="Arial" w:hAnsi="Arial"/>
          <w:sz w:val="20"/>
          <w:szCs w:val="20"/>
          <w:color w:val="auto"/>
        </w:rPr>
        <w:t>” means</w:t>
      </w:r>
      <w:r>
        <w:rPr>
          <w:rFonts w:ascii="Arial" w:cs="Arial" w:eastAsia="Arial" w:hAnsi="Arial"/>
          <w:sz w:val="20"/>
          <w:szCs w:val="20"/>
          <w:u w:val="single" w:color="auto"/>
          <w:color w:val="0000FF"/>
        </w:rPr>
        <w:t>, for the applicable Corresponding Tenor,</w:t>
      </w:r>
      <w:r>
        <w:rPr>
          <w:rFonts w:ascii="Arial" w:cs="Arial" w:eastAsia="Arial" w:hAnsi="Arial"/>
          <w:sz w:val="20"/>
          <w:szCs w:val="20"/>
          <w:color w:val="auto"/>
        </w:rPr>
        <w:t xml:space="preserve"> the forward-looking term rate based on SOFR that has been selected or recommended by the </w:t>
      </w:r>
      <w:r>
        <w:rPr>
          <w:rFonts w:ascii="Arial" w:cs="Arial" w:eastAsia="Arial" w:hAnsi="Arial"/>
          <w:sz w:val="20"/>
          <w:szCs w:val="20"/>
          <w:u w:val="single" w:color="auto"/>
          <w:color w:val="0000FF"/>
        </w:rPr>
        <w:t>Relevant</w:t>
      </w:r>
      <w:r>
        <w:rPr>
          <w:rFonts w:ascii="Arial" w:cs="Arial" w:eastAsia="Arial" w:hAnsi="Arial"/>
          <w:sz w:val="20"/>
          <w:szCs w:val="20"/>
          <w:color w:val="auto"/>
        </w:rPr>
        <w:t xml:space="preserve"> Governmental </w:t>
      </w:r>
      <w:r>
        <w:rPr>
          <w:rFonts w:ascii="Arial" w:cs="Arial" w:eastAsia="Arial" w:hAnsi="Arial"/>
          <w:sz w:val="20"/>
          <w:szCs w:val="20"/>
          <w:color w:val="FF0000"/>
          <w:strike w:val="1"/>
        </w:rPr>
        <w:t>Authority</w:t>
      </w:r>
      <w:r>
        <w:rPr>
          <w:rFonts w:ascii="Arial" w:cs="Arial" w:eastAsia="Arial" w:hAnsi="Arial"/>
          <w:sz w:val="20"/>
          <w:szCs w:val="20"/>
          <w:u w:val="single" w:color="auto"/>
          <w:color w:val="0000FF"/>
        </w:rPr>
        <w:t>Body</w:t>
      </w:r>
      <w:r>
        <w:rPr>
          <w:rFonts w:ascii="Arial" w:cs="Arial" w:eastAsia="Arial" w:hAnsi="Arial"/>
          <w:sz w:val="20"/>
          <w:szCs w:val="20"/>
          <w:color w:val="auto"/>
        </w:rPr>
        <w:t>.</w:t>
      </w:r>
    </w:p>
    <w:p>
      <w:pPr>
        <w:spacing w:after="0" w:line="142" w:lineRule="exact"/>
        <w:rPr>
          <w:sz w:val="20"/>
          <w:szCs w:val="20"/>
          <w:color w:val="auto"/>
        </w:rPr>
      </w:pPr>
    </w:p>
    <w:p>
      <w:pPr>
        <w:ind w:right="300" w:firstLine="648"/>
        <w:spacing w:after="0" w:line="229"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Term TONA</w:t>
      </w:r>
      <w:r>
        <w:rPr>
          <w:rFonts w:ascii="Arial" w:cs="Arial" w:eastAsia="Arial" w:hAnsi="Arial"/>
          <w:sz w:val="20"/>
          <w:szCs w:val="20"/>
          <w:u w:val="single" w:color="auto"/>
          <w:color w:val="0000FF"/>
        </w:rPr>
        <w:t>” means, for the applicable Corresponding Tenor as of the applicable Reference Time, the forward-looking term rate based on TONA that has been selected or recommended by the Relevant Governmental Body.</w:t>
      </w:r>
    </w:p>
    <w:p>
      <w:pPr>
        <w:spacing w:after="0" w:line="142" w:lineRule="exact"/>
        <w:rPr>
          <w:sz w:val="20"/>
          <w:szCs w:val="20"/>
          <w:color w:val="auto"/>
        </w:rPr>
      </w:pPr>
    </w:p>
    <w:p>
      <w:pPr>
        <w:ind w:right="240" w:firstLine="648"/>
        <w:spacing w:after="0" w:line="229"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TONA</w:t>
      </w:r>
      <w:r>
        <w:rPr>
          <w:rFonts w:ascii="Arial" w:cs="Arial" w:eastAsia="Arial" w:hAnsi="Arial"/>
          <w:sz w:val="20"/>
          <w:szCs w:val="20"/>
          <w:u w:val="single" w:color="auto"/>
          <w:color w:val="0000FF"/>
        </w:rPr>
        <w:t>” means, with respect to any Business Day, a rate per annum equal to the Tokyo Overnight Average Rate for such Business Day published by the TONA Administrator on the TONA Administrator’s Website.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b w:val="1"/>
          <w:bCs w:val="1"/>
          <w:i w:val="1"/>
          <w:iCs w:val="1"/>
          <w:u w:val="single" w:color="auto"/>
          <w:color w:val="0000FF"/>
        </w:rPr>
        <w:t>TONA Administrator</w:t>
      </w:r>
      <w:r>
        <w:rPr>
          <w:rFonts w:ascii="Arial" w:cs="Arial" w:eastAsia="Arial" w:hAnsi="Arial"/>
          <w:sz w:val="19"/>
          <w:szCs w:val="19"/>
          <w:u w:val="single" w:color="auto"/>
          <w:color w:val="0000FF"/>
        </w:rPr>
        <w:t>” means the Bank of Japan (or any successor administrator of the Tokyo Overnight Average Rate).</w:t>
      </w:r>
    </w:p>
    <w:p>
      <w:pPr>
        <w:spacing w:after="0" w:line="173" w:lineRule="exact"/>
        <w:rPr>
          <w:sz w:val="20"/>
          <w:szCs w:val="20"/>
          <w:color w:val="auto"/>
        </w:rPr>
      </w:pPr>
    </w:p>
    <w:p>
      <w:pPr>
        <w:ind w:right="160" w:firstLine="648"/>
        <w:spacing w:after="0" w:line="229" w:lineRule="auto"/>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TONA Administrator’s Website</w:t>
      </w:r>
      <w:r>
        <w:rPr>
          <w:rFonts w:ascii="Arial" w:cs="Arial" w:eastAsia="Arial" w:hAnsi="Arial"/>
          <w:sz w:val="20"/>
          <w:szCs w:val="20"/>
          <w:u w:val="single" w:color="auto"/>
          <w:color w:val="0000FF"/>
        </w:rPr>
        <w:t>” means the Bank of Japan’s website, currently at http://www.boj.or.jp, or any successor source for the Tokyo Overnight Average Rate identified as such by the TONA Administrator from time to time.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b w:val="1"/>
          <w:bCs w:val="1"/>
          <w:i w:val="1"/>
          <w:iCs w:val="1"/>
          <w:u w:val="single" w:color="auto"/>
          <w:color w:val="0000FF"/>
        </w:rPr>
        <w:t>USD LIBOR</w:t>
      </w:r>
      <w:r>
        <w:rPr>
          <w:rFonts w:ascii="Arial" w:cs="Arial" w:eastAsia="Arial" w:hAnsi="Arial"/>
          <w:sz w:val="20"/>
          <w:szCs w:val="20"/>
          <w:u w:val="single" w:color="auto"/>
          <w:color w:val="0000FF"/>
        </w:rPr>
        <w:t>” means the London interbank offered rate for U.S. Dollars.</w:t>
      </w:r>
    </w:p>
    <w:p>
      <w:pPr>
        <w:spacing w:after="0" w:line="148" w:lineRule="exact"/>
        <w:rPr>
          <w:sz w:val="20"/>
          <w:szCs w:val="20"/>
          <w:color w:val="auto"/>
        </w:rPr>
      </w:pPr>
    </w:p>
    <w:p>
      <w:pPr>
        <w:ind w:right="94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Unadjusted Benchmark Replacement</w:t>
      </w:r>
      <w:r>
        <w:rPr>
          <w:rFonts w:ascii="Arial" w:cs="Arial" w:eastAsia="Arial" w:hAnsi="Arial"/>
          <w:sz w:val="20"/>
          <w:szCs w:val="20"/>
          <w:color w:val="auto"/>
        </w:rPr>
        <w:t xml:space="preserve">” means the </w:t>
      </w:r>
      <w:r>
        <w:rPr>
          <w:rFonts w:ascii="Arial" w:cs="Arial" w:eastAsia="Arial" w:hAnsi="Arial"/>
          <w:sz w:val="20"/>
          <w:szCs w:val="20"/>
          <w:u w:val="single" w:color="auto"/>
          <w:color w:val="0000FF"/>
        </w:rPr>
        <w:t>applicable</w:t>
      </w:r>
      <w:r>
        <w:rPr>
          <w:rFonts w:ascii="Arial" w:cs="Arial" w:eastAsia="Arial" w:hAnsi="Arial"/>
          <w:sz w:val="20"/>
          <w:szCs w:val="20"/>
          <w:color w:val="auto"/>
        </w:rPr>
        <w:t xml:space="preserve"> Benchmark Replacement excluding the </w:t>
      </w:r>
      <w:r>
        <w:rPr>
          <w:rFonts w:ascii="Arial" w:cs="Arial" w:eastAsia="Arial" w:hAnsi="Arial"/>
          <w:sz w:val="20"/>
          <w:szCs w:val="20"/>
          <w:u w:val="single" w:color="auto"/>
          <w:color w:val="0000FF"/>
        </w:rPr>
        <w:t>related</w:t>
      </w:r>
      <w:r>
        <w:rPr>
          <w:rFonts w:ascii="Arial" w:cs="Arial" w:eastAsia="Arial" w:hAnsi="Arial"/>
          <w:sz w:val="20"/>
          <w:szCs w:val="20"/>
          <w:color w:val="auto"/>
        </w:rPr>
        <w:t xml:space="preserve"> Benchmark Replacement Adjustment.</w:t>
      </w:r>
    </w:p>
    <w:p>
      <w:pPr>
        <w:spacing w:after="0" w:line="142" w:lineRule="exact"/>
        <w:rPr>
          <w:sz w:val="20"/>
          <w:szCs w:val="20"/>
          <w:color w:val="auto"/>
        </w:rPr>
      </w:pPr>
    </w:p>
    <w:p>
      <w:pPr>
        <w:ind w:firstLine="1304"/>
        <w:spacing w:after="0" w:line="212" w:lineRule="auto"/>
        <w:tabs>
          <w:tab w:leader="none" w:pos="1724" w:val="left"/>
        </w:tabs>
        <w:numPr>
          <w:ilvl w:val="0"/>
          <w:numId w:val="78"/>
        </w:numPr>
        <w:rPr>
          <w:rFonts w:ascii="Arial" w:cs="Arial" w:eastAsia="Arial" w:hAnsi="Arial"/>
          <w:sz w:val="19"/>
          <w:szCs w:val="19"/>
          <w:color w:val="FF0000"/>
          <w:strike w:val="1"/>
        </w:rPr>
      </w:pPr>
      <w:r>
        <w:rPr>
          <w:rFonts w:ascii="Arial" w:cs="Arial" w:eastAsia="Arial" w:hAnsi="Arial"/>
          <w:sz w:val="19"/>
          <w:szCs w:val="19"/>
          <w:color w:val="FF0000"/>
          <w:strike w:val="1"/>
        </w:rPr>
        <w:t>Benchmark Replacement</w:t>
      </w:r>
      <w:r>
        <w:rPr>
          <w:rFonts w:ascii="Arial" w:cs="Arial" w:eastAsia="Arial" w:hAnsi="Arial"/>
          <w:sz w:val="19"/>
          <w:szCs w:val="19"/>
          <w:color w:val="008000"/>
          <w:strike w:val="1"/>
        </w:rPr>
        <w:t>.</w:t>
      </w:r>
      <w:r>
        <w:rPr>
          <w:rFonts w:ascii="Arial" w:cs="Arial" w:eastAsia="Arial" w:hAnsi="Arial"/>
          <w:sz w:val="19"/>
          <w:szCs w:val="19"/>
          <w:color w:val="FF0000"/>
          <w:strike w:val="1"/>
        </w:rPr>
        <w:t xml:space="preserve"> </w:t>
      </w:r>
      <w:r>
        <w:rPr>
          <w:rFonts w:ascii="Arial" w:cs="Arial" w:eastAsia="Arial" w:hAnsi="Arial"/>
          <w:sz w:val="19"/>
          <w:szCs w:val="19"/>
          <w:color w:val="E36C0A"/>
          <w:strike w:val="1"/>
        </w:rPr>
        <w:t>Notwithstanding anything to the contrary herein or in any other Loan Document</w:t>
      </w:r>
      <w:r>
        <w:rPr>
          <w:rFonts w:ascii="Arial" w:cs="Arial" w:eastAsia="Arial" w:hAnsi="Arial"/>
          <w:sz w:val="19"/>
          <w:szCs w:val="19"/>
          <w:color w:val="FF0000"/>
          <w:strike w:val="1"/>
        </w:rPr>
        <w:t xml:space="preserve">, (i) upon the determination of the Administrative Agent (which shall be conclusive absent manifest error) or upon the written notice provided by the Required Lenders to the Administrative Agent that a Benchmark Transition Event has occurred or (ii) upon the occurrence of an Early Optin Election, as applicable, the Administrative Agent and the Company may amend this Agreement to replace the Adjusted LIBO Rate with a Benchmark Replacement, by a written document executed by the Company and the Administrative Agent, subject to the requirements of this Section 2.23. Notwithstanding the requirements of Section 10.02 or anything else to the contrary herein or in any other Loan Document, (x) any such amendment with respect to a Benchmark Transition Event will become effective and binding upon the Administrative Agent, the Borrowers and the Lenders at 5:00 p.m. on </w:t>
      </w:r>
      <w:r>
        <w:rPr>
          <w:rFonts w:ascii="Arial" w:cs="Arial" w:eastAsia="Arial" w:hAnsi="Arial"/>
          <w:sz w:val="19"/>
          <w:szCs w:val="19"/>
          <w:color w:val="008000"/>
          <w:strike w:val="1"/>
        </w:rPr>
        <w:t>the fifth (5th) Business Day after the</w:t>
      </w:r>
      <w:r>
        <w:rPr>
          <w:rFonts w:ascii="Arial" w:cs="Arial" w:eastAsia="Arial" w:hAnsi="Arial"/>
          <w:sz w:val="19"/>
          <w:szCs w:val="19"/>
          <w:color w:val="FF0000"/>
          <w:strike w:val="1"/>
        </w:rPr>
        <w:t xml:space="preserve"> Administrative Agent has posted such proposed amendment to all Lenders and the Company </w:t>
      </w:r>
      <w:r>
        <w:rPr>
          <w:rFonts w:ascii="Arial" w:cs="Arial" w:eastAsia="Arial" w:hAnsi="Arial"/>
          <w:sz w:val="19"/>
          <w:szCs w:val="19"/>
          <w:color w:val="008000"/>
          <w:strike w:val="1"/>
        </w:rPr>
        <w:t>so long as the Administrative Agent has not received, by such time, written notice of objection to such</w:t>
      </w:r>
      <w:r>
        <w:rPr>
          <w:rFonts w:ascii="Arial" w:cs="Arial" w:eastAsia="Arial" w:hAnsi="Arial"/>
          <w:sz w:val="19"/>
          <w:szCs w:val="19"/>
          <w:color w:val="FF0000"/>
          <w:strike w:val="1"/>
        </w:rPr>
        <w:t xml:space="preserve"> amendment </w:t>
      </w:r>
      <w:r>
        <w:rPr>
          <w:rFonts w:ascii="Arial" w:cs="Arial" w:eastAsia="Arial" w:hAnsi="Arial"/>
          <w:sz w:val="19"/>
          <w:szCs w:val="19"/>
          <w:color w:val="008000"/>
          <w:strike w:val="1"/>
        </w:rPr>
        <w:t>from Lenders comprising the Required Lenders</w:t>
      </w:r>
      <w:r>
        <w:rPr>
          <w:rFonts w:ascii="Arial" w:cs="Arial" w:eastAsia="Arial" w:hAnsi="Arial"/>
          <w:sz w:val="19"/>
          <w:szCs w:val="19"/>
          <w:color w:val="FF0000"/>
          <w:strike w:val="1"/>
        </w:rPr>
        <w:t xml:space="preserve"> and (y) any such amendment with respect to an Early Optin Election will become effective and binding upon the Administrative Agent, the Borrowers and the Lenders on the date that Lenders comprising the Required Lenders have delivered to the Administrative Agent written notice that such Required Lenders accept such amendment. No replacement of the Adjusted LIBO Rate with a Benchmark Replacement pursuant to this Section 2.23 will occur prior to the applicable Benchmark Transition Start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-70-</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115" w:name="page116"/>
    <w:bookmarkEnd w:id="115"/>
    <w:p>
      <w:pPr>
        <w:jc w:val="both"/>
        <w:ind w:firstLine="1304"/>
        <w:spacing w:after="0" w:line="224" w:lineRule="auto"/>
        <w:tabs>
          <w:tab w:leader="none" w:pos="1754" w:val="left"/>
        </w:tabs>
        <w:numPr>
          <w:ilvl w:val="0"/>
          <w:numId w:val="79"/>
        </w:numPr>
        <w:rPr>
          <w:rFonts w:ascii="Arial" w:cs="Arial" w:eastAsia="Arial" w:hAnsi="Arial"/>
          <w:sz w:val="19"/>
          <w:szCs w:val="19"/>
          <w:color w:val="E36C0A"/>
          <w:strike w:val="1"/>
        </w:rPr>
      </w:pPr>
      <w:r>
        <w:rPr>
          <w:rFonts w:ascii="Arial" w:cs="Arial" w:eastAsia="Arial" w:hAnsi="Arial"/>
          <w:sz w:val="19"/>
          <w:szCs w:val="19"/>
          <w:u w:val="single" w:color="auto"/>
          <w:color w:val="E36C0A"/>
          <w:strike w:val="1"/>
        </w:rPr>
        <w:t>Benchmark Replacement Conforming Changes</w:t>
      </w:r>
      <w:r>
        <w:rPr>
          <w:rFonts w:ascii="Arial" w:cs="Arial" w:eastAsia="Arial" w:hAnsi="Arial"/>
          <w:sz w:val="19"/>
          <w:szCs w:val="19"/>
          <w:color w:val="E36C0A"/>
          <w:strike w:val="1"/>
        </w:rPr>
        <w:t>. In connection with the implementation</w:t>
      </w:r>
      <w:r>
        <w:rPr>
          <w:rFonts w:ascii="Arial" w:cs="Arial" w:eastAsia="Arial" w:hAnsi="Arial"/>
          <w:sz w:val="19"/>
          <w:szCs w:val="19"/>
          <w:u w:val="single" w:color="auto"/>
          <w:color w:val="E36C0A"/>
          <w:strike w:val="1"/>
        </w:rPr>
        <w:t xml:space="preserve"> </w:t>
      </w:r>
      <w:r>
        <w:rPr>
          <w:rFonts w:ascii="Arial" w:cs="Arial" w:eastAsia="Arial" w:hAnsi="Arial"/>
          <w:sz w:val="19"/>
          <w:szCs w:val="19"/>
          <w:color w:val="FF0000"/>
          <w:strike w:val="1"/>
        </w:rPr>
        <w:t>of a Benchmark Replacement</w:t>
      </w:r>
      <w:r>
        <w:rPr>
          <w:rFonts w:ascii="Arial" w:cs="Arial" w:eastAsia="Arial" w:hAnsi="Arial"/>
          <w:sz w:val="19"/>
          <w:szCs w:val="19"/>
          <w:color w:val="008000"/>
          <w:strike w:val="1"/>
        </w:rPr>
        <w:t>,</w:t>
      </w:r>
      <w:r>
        <w:rPr>
          <w:rFonts w:ascii="Arial" w:cs="Arial" w:eastAsia="Arial" w:hAnsi="Arial"/>
          <w:sz w:val="19"/>
          <w:szCs w:val="19"/>
          <w:u w:val="single" w:color="auto"/>
          <w:color w:val="E36C0A"/>
          <w:strike w:val="1"/>
        </w:rPr>
        <w:t xml:space="preserve"> </w:t>
      </w:r>
      <w:r>
        <w:rPr>
          <w:rFonts w:ascii="Arial" w:cs="Arial" w:eastAsia="Arial" w:hAnsi="Arial"/>
          <w:sz w:val="19"/>
          <w:szCs w:val="19"/>
          <w:color w:val="E36C0A"/>
          <w:strike w:val="1"/>
        </w:rPr>
        <w:t xml:space="preserve">the Administrative Agent will have the right to make </w:t>
      </w:r>
      <w:r>
        <w:rPr>
          <w:rFonts w:ascii="Arial" w:cs="Arial" w:eastAsia="Arial" w:hAnsi="Arial"/>
          <w:sz w:val="19"/>
          <w:szCs w:val="19"/>
          <w:color w:val="008000"/>
          <w:strike w:val="1"/>
        </w:rPr>
        <w:t>Benchmark Replacement Conforming Changes from time to time and, notwithstanding</w:t>
      </w:r>
      <w:r>
        <w:rPr>
          <w:rFonts w:ascii="Arial" w:cs="Arial" w:eastAsia="Arial" w:hAnsi="Arial"/>
          <w:sz w:val="19"/>
          <w:szCs w:val="19"/>
          <w:color w:val="E36C0A"/>
          <w:strike w:val="1"/>
        </w:rPr>
        <w:t xml:space="preserve"> </w:t>
      </w:r>
      <w:r>
        <w:rPr>
          <w:rFonts w:ascii="Arial" w:cs="Arial" w:eastAsia="Arial" w:hAnsi="Arial"/>
          <w:sz w:val="19"/>
          <w:szCs w:val="19"/>
          <w:color w:val="008000"/>
          <w:strike w:val="1"/>
        </w:rPr>
        <w:t>anything to the contrary herein or in any other Loan Document, any amendments implementing such Benchmark Replacement Conforming Changes will become effective without any further action or consent of any other party to this Agreement</w:t>
      </w:r>
      <w:r>
        <w:rPr>
          <w:rFonts w:ascii="Arial" w:cs="Arial" w:eastAsia="Arial" w:hAnsi="Arial"/>
          <w:sz w:val="19"/>
          <w:szCs w:val="19"/>
          <w:color w:val="FF0000"/>
          <w:strike w:val="1"/>
        </w:rPr>
        <w:t>.</w:t>
      </w:r>
    </w:p>
    <w:p>
      <w:pPr>
        <w:spacing w:after="0" w:line="156" w:lineRule="exact"/>
        <w:rPr>
          <w:rFonts w:ascii="Arial" w:cs="Arial" w:eastAsia="Arial" w:hAnsi="Arial"/>
          <w:sz w:val="19"/>
          <w:szCs w:val="19"/>
          <w:color w:val="E36C0A"/>
          <w:strike w:val="1"/>
        </w:rPr>
      </w:pPr>
    </w:p>
    <w:p>
      <w:pPr>
        <w:jc w:val="both"/>
        <w:ind w:firstLine="1304"/>
        <w:spacing w:after="0" w:line="223" w:lineRule="auto"/>
        <w:tabs>
          <w:tab w:leader="none" w:pos="1792" w:val="left"/>
        </w:tabs>
        <w:numPr>
          <w:ilvl w:val="0"/>
          <w:numId w:val="79"/>
        </w:numPr>
        <w:rPr>
          <w:rFonts w:ascii="Arial" w:cs="Arial" w:eastAsia="Arial" w:hAnsi="Arial"/>
          <w:sz w:val="18"/>
          <w:szCs w:val="18"/>
          <w:color w:val="E36C0A"/>
          <w:strike w:val="1"/>
        </w:rPr>
      </w:pPr>
      <w:r>
        <w:rPr>
          <w:rFonts w:ascii="Arial" w:cs="Arial" w:eastAsia="Arial" w:hAnsi="Arial"/>
          <w:sz w:val="18"/>
          <w:szCs w:val="18"/>
          <w:u w:val="single" w:color="auto"/>
          <w:color w:val="E36C0A"/>
          <w:strike w:val="1"/>
        </w:rPr>
        <w:t>Notices; Standards for Decisions and Determinations</w:t>
      </w:r>
      <w:r>
        <w:rPr>
          <w:rFonts w:ascii="Arial" w:cs="Arial" w:eastAsia="Arial" w:hAnsi="Arial"/>
          <w:sz w:val="18"/>
          <w:szCs w:val="18"/>
          <w:color w:val="E36C0A"/>
          <w:strike w:val="1"/>
        </w:rPr>
        <w:t>. The Administrative Agent will promptly notify the Borrowers</w:t>
      </w:r>
      <w:r>
        <w:rPr>
          <w:rFonts w:ascii="Arial" w:cs="Arial" w:eastAsia="Arial" w:hAnsi="Arial"/>
          <w:sz w:val="18"/>
          <w:szCs w:val="18"/>
          <w:u w:val="single" w:color="auto"/>
          <w:color w:val="E36C0A"/>
          <w:strike w:val="1"/>
        </w:rPr>
        <w:t xml:space="preserve"> </w:t>
      </w:r>
      <w:r>
        <w:rPr>
          <w:rFonts w:ascii="Arial" w:cs="Arial" w:eastAsia="Arial" w:hAnsi="Arial"/>
          <w:sz w:val="18"/>
          <w:szCs w:val="18"/>
          <w:color w:val="E36C0A"/>
          <w:strike w:val="1"/>
        </w:rPr>
        <w:t xml:space="preserve">and the Lenders </w:t>
      </w:r>
      <w:r>
        <w:rPr>
          <w:rFonts w:ascii="Arial" w:cs="Arial" w:eastAsia="Arial" w:hAnsi="Arial"/>
          <w:sz w:val="18"/>
          <w:szCs w:val="18"/>
          <w:color w:val="FF0000"/>
          <w:strike w:val="1"/>
        </w:rPr>
        <w:t>in writing of (i) any occurrence of a Benchmark Transition Event or an Early Optin Election, as applicable, and its related</w:t>
      </w:r>
      <w:r>
        <w:rPr>
          <w:rFonts w:ascii="Arial" w:cs="Arial" w:eastAsia="Arial" w:hAnsi="Arial"/>
          <w:sz w:val="18"/>
          <w:szCs w:val="18"/>
          <w:color w:val="E36C0A"/>
          <w:strike w:val="1"/>
        </w:rPr>
        <w:t xml:space="preserve"> </w:t>
      </w:r>
      <w:r>
        <w:rPr>
          <w:rFonts w:ascii="Arial" w:cs="Arial" w:eastAsia="Arial" w:hAnsi="Arial"/>
          <w:sz w:val="18"/>
          <w:szCs w:val="18"/>
          <w:color w:val="FF0000"/>
          <w:strike w:val="1"/>
        </w:rPr>
        <w:t xml:space="preserve">Benchmark Replacement Date and Benchmark Transition Start Date, (ii) </w:t>
      </w:r>
      <w:r>
        <w:rPr>
          <w:rFonts w:ascii="Arial" w:cs="Arial" w:eastAsia="Arial" w:hAnsi="Arial"/>
          <w:sz w:val="18"/>
          <w:szCs w:val="18"/>
          <w:color w:val="E36C0A"/>
          <w:strike w:val="1"/>
        </w:rPr>
        <w:t>the implementation of</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any Benchmark Replacement</w:t>
      </w:r>
      <w:r>
        <w:rPr>
          <w:rFonts w:ascii="Arial" w:cs="Arial" w:eastAsia="Arial" w:hAnsi="Arial"/>
          <w:sz w:val="18"/>
          <w:szCs w:val="18"/>
          <w:color w:val="FF0000"/>
          <w:strike w:val="1"/>
        </w:rPr>
        <w:t xml:space="preserve">, (iii) </w:t>
      </w:r>
      <w:r>
        <w:rPr>
          <w:rFonts w:ascii="Arial" w:cs="Arial" w:eastAsia="Arial" w:hAnsi="Arial"/>
          <w:sz w:val="18"/>
          <w:szCs w:val="18"/>
          <w:color w:val="008000"/>
          <w:strike w:val="1"/>
        </w:rPr>
        <w:t>the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effectiveness of any Benchmark Replacement Conforming Changes </w:t>
      </w:r>
      <w:r>
        <w:rPr>
          <w:rFonts w:ascii="Arial" w:cs="Arial" w:eastAsia="Arial" w:hAnsi="Arial"/>
          <w:sz w:val="18"/>
          <w:szCs w:val="18"/>
          <w:color w:val="FF0000"/>
          <w:strike w:val="1"/>
        </w:rPr>
        <w:t>and (iv) the commencement or conclusion of any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-974090</wp:posOffset>
            </wp:positionV>
            <wp:extent cx="400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40005" cy="8890"/>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-1017270</wp:posOffset>
            </wp:positionV>
            <wp:extent cx="400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40005" cy="8890"/>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-280035</wp:posOffset>
            </wp:positionV>
            <wp:extent cx="311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jc w:val="both"/>
        <w:spacing w:after="0" w:line="205" w:lineRule="auto"/>
        <w:rPr>
          <w:sz w:val="20"/>
          <w:szCs w:val="20"/>
          <w:color w:val="auto"/>
        </w:rPr>
      </w:pPr>
      <w:r>
        <w:rPr>
          <w:rFonts w:ascii="Arial" w:cs="Arial" w:eastAsia="Arial" w:hAnsi="Arial"/>
          <w:sz w:val="20"/>
          <w:szCs w:val="20"/>
          <w:color w:val="FF0000"/>
          <w:strike w:val="1"/>
        </w:rPr>
        <w:t>Unavailability Period</w:t>
      </w:r>
      <w:r>
        <w:rPr>
          <w:rFonts w:ascii="Arial" w:cs="Arial" w:eastAsia="Arial" w:hAnsi="Arial"/>
          <w:sz w:val="20"/>
          <w:szCs w:val="20"/>
          <w:color w:val="008000"/>
          <w:strike w:val="1"/>
        </w:rPr>
        <w:t>. Any determination, decision or election that may be made by the Administrative Agent or</w:t>
      </w:r>
      <w:r>
        <w:rPr>
          <w:rFonts w:ascii="Arial" w:cs="Arial" w:eastAsia="Arial" w:hAnsi="Arial"/>
          <w:sz w:val="20"/>
          <w:szCs w:val="20"/>
          <w:color w:val="FF0000"/>
          <w:strike w:val="1"/>
        </w:rPr>
        <w:t xml:space="preserve"> Lenders pursuant to this Section 2.23, </w:t>
      </w:r>
      <w:r>
        <w:rPr>
          <w:rFonts w:ascii="Arial" w:cs="Arial" w:eastAsia="Arial" w:hAnsi="Arial"/>
          <w:sz w:val="20"/>
          <w:szCs w:val="20"/>
          <w:color w:val="008000"/>
          <w:strike w:val="1"/>
        </w:rPr>
        <w:t>including, without limitation, any determination with respect to a tenor,</w:t>
      </w:r>
      <w:r>
        <w:rPr>
          <w:rFonts w:ascii="Arial" w:cs="Arial" w:eastAsia="Arial" w:hAnsi="Arial"/>
          <w:sz w:val="20"/>
          <w:szCs w:val="20"/>
          <w:color w:val="FF0000"/>
          <w:strike w:val="1"/>
        </w:rPr>
        <w:t xml:space="preserve"> comparable replacement </w:t>
      </w:r>
      <w:r>
        <w:rPr>
          <w:rFonts w:ascii="Arial" w:cs="Arial" w:eastAsia="Arial" w:hAnsi="Arial"/>
          <w:sz w:val="20"/>
          <w:szCs w:val="20"/>
          <w:color w:val="008000"/>
          <w:strike w:val="1"/>
        </w:rPr>
        <w:t>rate or adjustment, or</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implementation of any Benchmark Replacement </w:t>
      </w:r>
      <w:r>
        <w:rPr>
          <w:rFonts w:ascii="Arial" w:cs="Arial" w:eastAsia="Arial" w:hAnsi="Arial"/>
          <w:sz w:val="20"/>
          <w:szCs w:val="20"/>
          <w:color w:val="FF0000"/>
          <w:strike w:val="1"/>
        </w:rPr>
        <w:t>Rate Conforming Changes,</w:t>
      </w:r>
      <w:r>
        <w:rPr>
          <w:rFonts w:ascii="Arial" w:cs="Arial" w:eastAsia="Arial" w:hAnsi="Arial"/>
          <w:sz w:val="20"/>
          <w:szCs w:val="20"/>
          <w:color w:val="008000"/>
          <w:strike w:val="1"/>
        </w:rPr>
        <w:t xml:space="preserve"> or of the occurrence or nonoccurrence of an event, circumstance or date and any decision to take or refrain from taking any action, will be conclusive and binding on all parties hereto absent manifest error and may be made in its or their sole discretion and without consent from any other party </w:t>
      </w:r>
      <w:r>
        <w:rPr>
          <w:rFonts w:ascii="Arial" w:cs="Arial" w:eastAsia="Arial" w:hAnsi="Arial"/>
          <w:sz w:val="20"/>
          <w:szCs w:val="20"/>
          <w:color w:val="FF0000"/>
          <w:strike w:val="1"/>
        </w:rPr>
        <w:t>hereto</w:t>
      </w:r>
      <w:r>
        <w:rPr>
          <w:rFonts w:ascii="Arial" w:cs="Arial" w:eastAsia="Arial" w:hAnsi="Arial"/>
          <w:sz w:val="20"/>
          <w:szCs w:val="20"/>
          <w:color w:val="008000"/>
          <w:strike w:val="1"/>
        </w:rPr>
        <w:t xml:space="preserve">, except, in each case, as expressly required pursuant to this Section </w:t>
      </w:r>
      <w:r>
        <w:rPr>
          <w:rFonts w:ascii="Arial" w:cs="Arial" w:eastAsia="Arial" w:hAnsi="Arial"/>
          <w:sz w:val="20"/>
          <w:szCs w:val="20"/>
          <w:color w:val="FF0000"/>
          <w:strike w:val="1"/>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5434330</wp:posOffset>
            </wp:positionH>
            <wp:positionV relativeFrom="paragraph">
              <wp:posOffset>-747395</wp:posOffset>
            </wp:positionV>
            <wp:extent cx="654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6540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-627380</wp:posOffset>
            </wp:positionV>
            <wp:extent cx="400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40005" cy="8255"/>
                    </a:xfrm>
                    <a:prstGeom prst="rect">
                      <a:avLst/>
                    </a:prstGeom>
                    <a:noFill/>
                  </pic:spPr>
                </pic:pic>
              </a:graphicData>
            </a:graphic>
          </wp:anchor>
        </w:drawing>
        <w:drawing>
          <wp:anchor simplePos="0" relativeHeight="251657728" behindDoc="1" locked="0" layoutInCell="0" allowOverlap="1">
            <wp:simplePos x="0" y="0"/>
            <wp:positionH relativeFrom="column">
              <wp:posOffset>2271395</wp:posOffset>
            </wp:positionH>
            <wp:positionV relativeFrom="paragraph">
              <wp:posOffset>-507365</wp:posOffset>
            </wp:positionV>
            <wp:extent cx="57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-387350</wp:posOffset>
            </wp:positionV>
            <wp:extent cx="311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35" w:lineRule="exact"/>
        <w:rPr>
          <w:sz w:val="20"/>
          <w:szCs w:val="20"/>
          <w:color w:val="auto"/>
        </w:rPr>
      </w:pPr>
    </w:p>
    <w:p>
      <w:pPr>
        <w:ind w:right="440" w:firstLine="1304"/>
        <w:spacing w:after="0" w:line="233" w:lineRule="auto"/>
        <w:tabs>
          <w:tab w:leader="none" w:pos="1713" w:val="left"/>
        </w:tabs>
        <w:numPr>
          <w:ilvl w:val="0"/>
          <w:numId w:val="80"/>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Benchmark Unavailability Period</w:t>
      </w:r>
      <w:r>
        <w:rPr>
          <w:rFonts w:ascii="Arial" w:cs="Arial" w:eastAsia="Arial" w:hAnsi="Arial"/>
          <w:sz w:val="18"/>
          <w:szCs w:val="18"/>
          <w:color w:val="FF0000"/>
          <w:strike w:val="1"/>
        </w:rPr>
        <w:t>. Upon the Borrowers’ receipt of notice of the commencement of a Benchmark</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Unavailability Period, any Borrower </w:t>
      </w:r>
      <w:r>
        <w:rPr>
          <w:rFonts w:ascii="Arial" w:cs="Arial" w:eastAsia="Arial" w:hAnsi="Arial"/>
          <w:sz w:val="18"/>
          <w:szCs w:val="18"/>
          <w:color w:val="E36C0A"/>
          <w:strike w:val="1"/>
        </w:rPr>
        <w:t>may revoke any request for a</w:t>
      </w:r>
      <w:r>
        <w:rPr>
          <w:rFonts w:ascii="Arial" w:cs="Arial" w:eastAsia="Arial" w:hAnsi="Arial"/>
          <w:sz w:val="18"/>
          <w:szCs w:val="18"/>
          <w:color w:val="FF0000"/>
          <w:strike w:val="1"/>
        </w:rPr>
        <w:t xml:space="preserve"> Eurodollar Borrowing </w:t>
      </w:r>
      <w:r>
        <w:rPr>
          <w:rFonts w:ascii="Arial" w:cs="Arial" w:eastAsia="Arial" w:hAnsi="Arial"/>
          <w:sz w:val="18"/>
          <w:szCs w:val="18"/>
          <w:color w:val="E36C0A"/>
          <w:strike w:val="1"/>
        </w:rPr>
        <w:t>of, conversion to or continuation of</w:t>
      </w:r>
      <w:r>
        <w:rPr>
          <w:rFonts w:ascii="Arial" w:cs="Arial" w:eastAsia="Arial" w:hAnsi="Arial"/>
          <w:sz w:val="18"/>
          <w:szCs w:val="18"/>
          <w:color w:val="FF0000"/>
          <w:strike w:val="1"/>
        </w:rPr>
        <w:t xml:space="preserve"> Eurodollar </w:t>
      </w:r>
      <w:r>
        <w:rPr>
          <w:rFonts w:ascii="Arial" w:cs="Arial" w:eastAsia="Arial" w:hAnsi="Arial"/>
          <w:sz w:val="18"/>
          <w:szCs w:val="18"/>
          <w:color w:val="E36C0A"/>
          <w:strike w:val="1"/>
        </w:rPr>
        <w:t xml:space="preserve">Loans to be made, converted or continued </w:t>
      </w:r>
      <w:r>
        <w:rPr>
          <w:rFonts w:ascii="Arial" w:cs="Arial" w:eastAsia="Arial" w:hAnsi="Arial"/>
          <w:sz w:val="18"/>
          <w:szCs w:val="18"/>
          <w:color w:val="FF0000"/>
          <w:strike w:val="1"/>
        </w:rPr>
        <w:t>during any Benchmark Unavailability Period and, failing that</w:t>
      </w:r>
      <w:r>
        <w:rPr>
          <w:rFonts w:ascii="Arial" w:cs="Arial" w:eastAsia="Arial" w:hAnsi="Arial"/>
          <w:sz w:val="18"/>
          <w:szCs w:val="18"/>
          <w:color w:val="008000"/>
          <w:strike w:val="1"/>
        </w:rPr>
        <w:t>, such Borrower will be deemed</w:t>
      </w:r>
      <w:r>
        <w:rPr>
          <w:rFonts w:ascii="Arial" w:cs="Arial" w:eastAsia="Arial" w:hAnsi="Arial"/>
          <w:sz w:val="18"/>
          <w:szCs w:val="18"/>
          <w:color w:val="E36C0A"/>
          <w:strike w:val="1"/>
        </w:rPr>
        <w:t xml:space="preserve"> </w:t>
      </w:r>
      <w:r>
        <w:rPr>
          <w:rFonts w:ascii="Arial" w:cs="Arial" w:eastAsia="Arial" w:hAnsi="Arial"/>
          <w:sz w:val="18"/>
          <w:szCs w:val="18"/>
          <w:color w:val="008000"/>
          <w:strike w:val="1"/>
        </w:rPr>
        <w:t>t</w:t>
      </w:r>
      <w:r>
        <w:rPr>
          <w:rFonts w:ascii="Arial" w:cs="Arial" w:eastAsia="Arial" w:hAnsi="Arial"/>
          <w:sz w:val="18"/>
          <w:szCs w:val="18"/>
          <w:color w:val="E36C0A"/>
          <w:strike w:val="1"/>
        </w:rPr>
        <w:t>o have converted any such request into a request for a</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Borrowing of or conversion to an ABR Borrowing. During any Benchmark</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Unavailability Period, the components of ABR based upon the Adjusted LIBO Rate </w:t>
      </w:r>
      <w:r>
        <w:rPr>
          <w:rFonts w:ascii="Arial" w:cs="Arial" w:eastAsia="Arial" w:hAnsi="Arial"/>
          <w:sz w:val="18"/>
          <w:szCs w:val="18"/>
          <w:color w:val="008000"/>
          <w:strike w:val="1"/>
        </w:rPr>
        <w:t>will not be used in any determination of ABR.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-429260</wp:posOffset>
            </wp:positionV>
            <wp:extent cx="31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-309245</wp:posOffset>
            </wp:positionV>
            <wp:extent cx="31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3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III</w:t>
      </w:r>
    </w:p>
    <w:p>
      <w:pPr>
        <w:spacing w:after="0" w:line="148"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REPRESENTATIONS AND WARRANTIES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Borrower represents and warrants to the Lenders that:</w:t>
      </w:r>
    </w:p>
    <w:p>
      <w:pPr>
        <w:spacing w:after="0" w:line="162" w:lineRule="exact"/>
        <w:rPr>
          <w:sz w:val="20"/>
          <w:szCs w:val="20"/>
          <w:color w:val="auto"/>
        </w:rPr>
      </w:pPr>
    </w:p>
    <w:p>
      <w:pPr>
        <w:ind w:right="100" w:firstLine="648"/>
        <w:spacing w:after="0" w:line="207"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Organization; Powers</w:t>
      </w:r>
      <w:r>
        <w:rPr>
          <w:rFonts w:ascii="Arial" w:cs="Arial" w:eastAsia="Arial" w:hAnsi="Arial"/>
          <w:sz w:val="20"/>
          <w:szCs w:val="20"/>
          <w:color w:val="auto"/>
        </w:rPr>
        <w:t xml:space="preserve">. The Company and each Subsidiary is duly organized, </w:t>
      </w:r>
      <w:r>
        <w:rPr>
          <w:rFonts w:ascii="Arial" w:cs="Arial" w:eastAsia="Arial" w:hAnsi="Arial"/>
          <w:sz w:val="20"/>
          <w:szCs w:val="20"/>
          <w:u w:val="single" w:color="auto"/>
          <w:color w:val="0000FF"/>
        </w:rPr>
        <w:t>incorporated or established,</w:t>
      </w:r>
      <w:r>
        <w:rPr>
          <w:rFonts w:ascii="Arial" w:cs="Arial" w:eastAsia="Arial" w:hAnsi="Arial"/>
          <w:sz w:val="20"/>
          <w:szCs w:val="20"/>
          <w:color w:val="auto"/>
        </w:rPr>
        <w:t xml:space="preserve"> validly existing and in good standing (if applicable or, if applicable in a foreign jurisdiction, enjoys the equivalent status under the laws of any jurisdiction of organization outside the United States) under the laws of the jurisdiction of its </w:t>
      </w:r>
      <w:r>
        <w:rPr>
          <w:rFonts w:ascii="Arial" w:cs="Arial" w:eastAsia="Arial" w:hAnsi="Arial"/>
          <w:sz w:val="20"/>
          <w:szCs w:val="20"/>
          <w:u w:val="single" w:color="auto"/>
          <w:color w:val="0000FF"/>
        </w:rPr>
        <w:t>incorporation, establishment, formation or</w:t>
      </w:r>
      <w:r>
        <w:rPr>
          <w:rFonts w:ascii="Arial" w:cs="Arial" w:eastAsia="Arial" w:hAnsi="Arial"/>
          <w:sz w:val="20"/>
          <w:szCs w:val="20"/>
          <w:color w:val="auto"/>
        </w:rPr>
        <w:t xml:space="preserve">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-71-</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20"/>
          <w:szCs w:val="20"/>
          <w:color w:val="FF0000"/>
        </w:rPr>
        <w:t>Article IV</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1.01</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w:t>
      </w:r>
    </w:p>
    <w:p>
      <w:pPr>
        <w:spacing w:after="0" w:line="148" w:lineRule="exact"/>
        <w:rPr>
          <w:sz w:val="20"/>
          <w:szCs w:val="20"/>
          <w:color w:val="auto"/>
        </w:rPr>
      </w:pPr>
    </w:p>
    <w:p>
      <w:pPr>
        <w:ind w:right="400" w:firstLine="1304"/>
        <w:spacing w:after="0" w:line="333" w:lineRule="auto"/>
        <w:tabs>
          <w:tab w:leader="none" w:pos="1939"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Indebtedness under the Existing Credit Agreement, together with all interest and all other amounts due and payable with respect thereto, shall be paid in full, and the commitments in respect of such Indebtedness shall be permanently terminated.</w:t>
      </w:r>
    </w:p>
    <w:p>
      <w:pPr>
        <w:spacing w:after="0" w:line="69" w:lineRule="exact"/>
        <w:rPr>
          <w:rFonts w:ascii="Arial" w:cs="Arial" w:eastAsia="Arial" w:hAnsi="Arial"/>
          <w:sz w:val="16"/>
          <w:szCs w:val="16"/>
          <w:color w:val="auto"/>
        </w:rPr>
      </w:pPr>
    </w:p>
    <w:p>
      <w:pPr>
        <w:jc w:val="both"/>
        <w:ind w:right="300" w:firstLine="1304"/>
        <w:spacing w:after="0" w:line="224" w:lineRule="auto"/>
        <w:tabs>
          <w:tab w:leader="none" w:pos="1932"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The Administrative Agent and the Lenders shall have received all documentation and other information about the Loan Parties as shall have been reasonably requested by the Administrative Agent or such Lender at least 7 days prior to the Closing Date that it shall have reasonably determined is required by regulatory authorities under applicable “know your customer” and anti-money laundering rules and regulations, including without limitation, the USA </w:t>
      </w:r>
      <w:r>
        <w:rPr>
          <w:rFonts w:ascii="Arial" w:cs="Arial" w:eastAsia="Arial" w:hAnsi="Arial"/>
          <w:sz w:val="19"/>
          <w:szCs w:val="19"/>
          <w:color w:val="FF0000"/>
          <w:strike w:val="1"/>
        </w:rPr>
        <w:t>Patriot</w:t>
      </w:r>
      <w:r>
        <w:rPr>
          <w:rFonts w:ascii="Arial" w:cs="Arial" w:eastAsia="Arial" w:hAnsi="Arial"/>
          <w:sz w:val="19"/>
          <w:szCs w:val="19"/>
          <w:u w:val="single" w:color="auto"/>
          <w:color w:val="0000FF"/>
        </w:rPr>
        <w:t>PATRIOT</w:t>
      </w:r>
      <w:r>
        <w:rPr>
          <w:rFonts w:ascii="Arial" w:cs="Arial" w:eastAsia="Arial" w:hAnsi="Arial"/>
          <w:sz w:val="19"/>
          <w:szCs w:val="19"/>
          <w:color w:val="auto"/>
        </w:rPr>
        <w:t xml:space="preserve"> Act.</w:t>
      </w:r>
    </w:p>
    <w:p>
      <w:pPr>
        <w:spacing w:after="0" w:line="142" w:lineRule="exact"/>
        <w:rPr>
          <w:rFonts w:ascii="Arial" w:cs="Arial" w:eastAsia="Arial" w:hAnsi="Arial"/>
          <w:sz w:val="19"/>
          <w:szCs w:val="19"/>
          <w:color w:val="auto"/>
        </w:rPr>
      </w:pPr>
    </w:p>
    <w:p>
      <w:pPr>
        <w:ind w:right="100" w:firstLine="1304"/>
        <w:spacing w:after="0" w:line="229" w:lineRule="auto"/>
        <w:tabs>
          <w:tab w:leader="none" w:pos="1932"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Administrative Agent shall have received a copy of an amendment to the Existing PNC Term Loan Agreement, including any related documentation, in form and substance reasonably acceptable to the Administrative Agent.</w:t>
      </w:r>
    </w:p>
    <w:p>
      <w:pPr>
        <w:spacing w:after="0" w:line="10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w:t>
      </w:r>
    </w:p>
    <w:p>
      <w:pPr>
        <w:spacing w:after="0"/>
        <w:rPr>
          <w:sz w:val="20"/>
          <w:szCs w:val="20"/>
          <w:color w:val="auto"/>
        </w:rPr>
      </w:pPr>
      <w:r>
        <w:rPr>
          <w:rFonts w:ascii="Arial" w:cs="Arial" w:eastAsia="Arial" w:hAnsi="Arial"/>
          <w:sz w:val="20"/>
          <w:szCs w:val="20"/>
          <w:color w:val="auto"/>
        </w:rPr>
        <w:t>Issuing Bank to issue, amend, renew or extend any Letter of Credit, is subject to the satisfaction of the following conditions:</w:t>
      </w:r>
    </w:p>
    <w:p>
      <w:pPr>
        <w:spacing w:after="0" w:line="159" w:lineRule="exact"/>
        <w:rPr>
          <w:sz w:val="20"/>
          <w:szCs w:val="20"/>
          <w:color w:val="auto"/>
        </w:rPr>
      </w:pPr>
    </w:p>
    <w:p>
      <w:pPr>
        <w:ind w:firstLine="1304"/>
        <w:spacing w:after="0" w:line="221" w:lineRule="auto"/>
        <w:tabs>
          <w:tab w:leader="none" w:pos="1934"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representations and warranties of the Borrowers set forth in this Agreement shall be true and correct in all material respects (or in all respects if such representation or warranty is qualified by Material Adverse Effect or other materiality qualifier) on and as of the date of such Borrowing or the date of issuance, amendment, renewal or extension of such Letter of Credit, as applicable (except to the extent that any such representation and warranty expressly relates to an earlier date, in which case such representation and warranty shall be true and correct in all material respects as of such earlier date).</w:t>
      </w:r>
    </w:p>
    <w:p>
      <w:pPr>
        <w:spacing w:after="0" w:line="141" w:lineRule="exact"/>
        <w:rPr>
          <w:rFonts w:ascii="Arial" w:cs="Arial" w:eastAsia="Arial" w:hAnsi="Arial"/>
          <w:sz w:val="19"/>
          <w:szCs w:val="19"/>
          <w:color w:val="auto"/>
        </w:rPr>
      </w:pPr>
    </w:p>
    <w:p>
      <w:pPr>
        <w:ind w:right="640" w:firstLine="1304"/>
        <w:spacing w:after="0" w:line="269" w:lineRule="auto"/>
        <w:tabs>
          <w:tab w:leader="none" w:pos="19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117" w:lineRule="exact"/>
        <w:rPr>
          <w:sz w:val="20"/>
          <w:szCs w:val="20"/>
          <w:color w:val="auto"/>
        </w:rPr>
      </w:pPr>
    </w:p>
    <w:p>
      <w:pPr>
        <w:ind w:right="700" w:firstLine="648"/>
        <w:spacing w:after="0" w:line="333" w:lineRule="auto"/>
        <w:rPr>
          <w:sz w:val="20"/>
          <w:szCs w:val="20"/>
          <w:color w:val="auto"/>
        </w:rPr>
      </w:pPr>
      <w:r>
        <w:rPr>
          <w:rFonts w:ascii="Arial" w:cs="Arial" w:eastAsia="Arial" w:hAnsi="Arial"/>
          <w:sz w:val="16"/>
          <w:szCs w:val="16"/>
          <w:color w:val="auto"/>
        </w:rPr>
        <w:t>Each Borrowing and each issuance, amendment, renewal or extension of a Letter of Credit shall be deemed to constitute a representation and warranty by the Borrowers on the date thereof as to the matters specified in paragraphs (a) and (b) of this Section.</w:t>
      </w:r>
    </w:p>
    <w:p>
      <w:pPr>
        <w:spacing w:after="0" w:line="5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V</w:t>
      </w:r>
    </w:p>
    <w:p>
      <w:pPr>
        <w:spacing w:after="0" w:line="148"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AFFIRMATIVE COVENANTS</w:t>
      </w:r>
    </w:p>
    <w:p>
      <w:pPr>
        <w:spacing w:after="0" w:line="175" w:lineRule="exact"/>
        <w:rPr>
          <w:sz w:val="20"/>
          <w:szCs w:val="20"/>
          <w:color w:val="auto"/>
        </w:rPr>
      </w:pPr>
    </w:p>
    <w:p>
      <w:pPr>
        <w:ind w:right="300" w:firstLine="648"/>
        <w:spacing w:after="0" w:line="289" w:lineRule="auto"/>
        <w:rPr>
          <w:sz w:val="20"/>
          <w:szCs w:val="20"/>
          <w:color w:val="auto"/>
        </w:rPr>
      </w:pPr>
      <w:r>
        <w:rPr>
          <w:rFonts w:ascii="Arial" w:cs="Arial" w:eastAsia="Arial" w:hAnsi="Arial"/>
          <w:sz w:val="16"/>
          <w:szCs w:val="16"/>
          <w:color w:val="auto"/>
        </w:rPr>
        <w:t>Until the Commitments have expired or been terminated and the principal of and interest on each Loan and all fees and other Obligations payable hereunder shall have been paid in full and all Letters of Credit shall have expired or terminated, in each case, without any pending draw, and all LC Disbursements shall have been reimbursed, each Borrower covenants and agrees with the Lenders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-75-</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117" w:name="page118"/>
    <w:bookmarkEnd w:id="117"/>
    <w:p>
      <w:pPr>
        <w:ind w:right="360" w:firstLine="648"/>
        <w:spacing w:after="0" w:line="22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Financial Statements; Ratings Change and Other Information</w:t>
      </w:r>
      <w:r>
        <w:rPr>
          <w:rFonts w:ascii="Arial" w:cs="Arial" w:eastAsia="Arial" w:hAnsi="Arial"/>
          <w:sz w:val="20"/>
          <w:szCs w:val="20"/>
          <w:color w:val="auto"/>
        </w:rPr>
        <w:t>. The Company will furnish to the Administrative Agent and each Lender:</w:t>
      </w:r>
    </w:p>
    <w:p>
      <w:pPr>
        <w:spacing w:after="0" w:line="142" w:lineRule="exact"/>
        <w:rPr>
          <w:sz w:val="20"/>
          <w:szCs w:val="20"/>
          <w:color w:val="auto"/>
        </w:rPr>
      </w:pPr>
    </w:p>
    <w:p>
      <w:pPr>
        <w:jc w:val="both"/>
        <w:ind w:firstLine="1304"/>
        <w:spacing w:after="0" w:line="224" w:lineRule="auto"/>
        <w:tabs>
          <w:tab w:leader="none" w:pos="1934" w:val="left"/>
        </w:tabs>
        <w:numPr>
          <w:ilvl w:val="0"/>
          <w:numId w:val="83"/>
        </w:numPr>
        <w:rPr>
          <w:rFonts w:ascii="Arial" w:cs="Arial" w:eastAsia="Arial" w:hAnsi="Arial"/>
          <w:sz w:val="19"/>
          <w:szCs w:val="19"/>
          <w:color w:val="auto"/>
        </w:rPr>
      </w:pPr>
      <w:r>
        <w:rPr>
          <w:rFonts w:ascii="Arial" w:cs="Arial" w:eastAsia="Arial" w:hAnsi="Arial"/>
          <w:sz w:val="19"/>
          <w:szCs w:val="19"/>
          <w:color w:val="auto"/>
        </w:rPr>
        <w:t>within 100 days after the end of each fiscal year of the Company, its audited consolidated balance sheet and related statements of income, retained earnings and cash flows as of the end of and for such year, setting forth in each case in comparative form the figures for the previous fiscal year, all reported on by KPMG LLP or other independent public accountants of recognized national standing (without a “going concern” or like qualification, commentary or exception and without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-76-</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080"/>
          </w:cols>
          <w:pgMar w:left="320" w:top="1405" w:right="499" w:bottom="1440" w:gutter="0" w:footer="0" w:header="0"/>
        </w:sectPr>
      </w:pPr>
    </w:p>
    <w:bookmarkStart w:id="118" w:name="page119"/>
    <w:bookmarkEnd w:id="118"/>
    <w:p>
      <w:pPr>
        <w:ind w:left="4980"/>
        <w:spacing w:after="0"/>
        <w:rPr>
          <w:sz w:val="20"/>
          <w:szCs w:val="20"/>
          <w:color w:val="auto"/>
        </w:rPr>
      </w:pPr>
      <w:r>
        <w:rPr>
          <w:rFonts w:ascii="Arial" w:cs="Arial" w:eastAsia="Arial" w:hAnsi="Arial"/>
          <w:sz w:val="20"/>
          <w:szCs w:val="20"/>
          <w:color w:val="FF0000"/>
        </w:rPr>
        <w:t>Article VI</w:t>
      </w:r>
    </w:p>
    <w:p>
      <w:pPr>
        <w:spacing w:after="0" w:line="175" w:lineRule="exact"/>
        <w:rPr>
          <w:sz w:val="20"/>
          <w:szCs w:val="20"/>
          <w:color w:val="auto"/>
        </w:rPr>
      </w:pPr>
    </w:p>
    <w:p>
      <w:pPr>
        <w:ind w:left="4980"/>
        <w:spacing w:after="0"/>
        <w:rPr>
          <w:sz w:val="20"/>
          <w:szCs w:val="20"/>
          <w:color w:val="auto"/>
        </w:rPr>
      </w:pPr>
      <w:r>
        <w:rPr>
          <w:rFonts w:ascii="Arial" w:cs="Arial" w:eastAsia="Arial" w:hAnsi="Arial"/>
          <w:sz w:val="20"/>
          <w:szCs w:val="20"/>
          <w:color w:val="FF0000"/>
        </w:rPr>
        <w:t>Article VII</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1.01</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w:t>
      </w:r>
    </w:p>
    <w:p>
      <w:pPr>
        <w:spacing w:after="0" w:line="162" w:lineRule="exact"/>
        <w:rPr>
          <w:sz w:val="20"/>
          <w:szCs w:val="20"/>
          <w:color w:val="auto"/>
        </w:rPr>
      </w:pPr>
    </w:p>
    <w:p>
      <w:pPr>
        <w:ind w:right="120" w:firstLine="1304"/>
        <w:spacing w:after="0" w:line="218" w:lineRule="auto"/>
        <w:tabs>
          <w:tab w:leader="none" w:pos="1934" w:val="left"/>
        </w:tabs>
        <w:numPr>
          <w:ilvl w:val="0"/>
          <w:numId w:val="84"/>
        </w:numPr>
        <w:rPr>
          <w:rFonts w:ascii="Arial" w:cs="Arial" w:eastAsia="Arial" w:hAnsi="Arial"/>
          <w:sz w:val="20"/>
          <w:szCs w:val="20"/>
          <w:color w:val="auto"/>
        </w:rPr>
      </w:pPr>
      <w:r>
        <w:rPr>
          <w:rFonts w:ascii="Arial" w:cs="Arial" w:eastAsia="Arial" w:hAnsi="Arial"/>
          <w:sz w:val="20"/>
          <w:szCs w:val="20"/>
          <w:i w:val="1"/>
          <w:iCs w:val="1"/>
          <w:color w:val="auto"/>
        </w:rPr>
        <w:t>Fifth</w:t>
      </w:r>
      <w:r>
        <w:rPr>
          <w:rFonts w:ascii="Arial" w:cs="Arial" w:eastAsia="Arial" w:hAnsi="Arial"/>
          <w:sz w:val="20"/>
          <w:szCs w:val="20"/>
          <w:color w:val="auto"/>
        </w:rPr>
        <w:t>, to pay an amount to the Administrative Agent equal to one hundred percent (100%) of the aggregate undrawn</w:t>
      </w:r>
      <w:r>
        <w:rPr>
          <w:rFonts w:ascii="Arial" w:cs="Arial" w:eastAsia="Arial" w:hAnsi="Arial"/>
          <w:sz w:val="20"/>
          <w:szCs w:val="20"/>
          <w:i w:val="1"/>
          <w:iCs w:val="1"/>
          <w:color w:val="auto"/>
        </w:rPr>
        <w:t xml:space="preserve"> </w:t>
      </w:r>
      <w:r>
        <w:rPr>
          <w:rFonts w:ascii="Arial" w:cs="Arial" w:eastAsia="Arial" w:hAnsi="Arial"/>
          <w:sz w:val="20"/>
          <w:szCs w:val="20"/>
          <w:color w:val="auto"/>
        </w:rPr>
        <w:t>face amount of all outstanding Letters of Credit and the aggregate amount of any unreimbursed LC Disbursements, to be held as cash collateral for such Obligations;</w:t>
      </w:r>
    </w:p>
    <w:p>
      <w:pPr>
        <w:spacing w:after="0" w:line="129" w:lineRule="exact"/>
        <w:rPr>
          <w:rFonts w:ascii="Arial" w:cs="Arial" w:eastAsia="Arial" w:hAnsi="Arial"/>
          <w:sz w:val="20"/>
          <w:szCs w:val="20"/>
          <w:color w:val="auto"/>
        </w:rPr>
      </w:pPr>
    </w:p>
    <w:p>
      <w:pPr>
        <w:ind w:left="1940" w:hanging="636"/>
        <w:spacing w:after="0"/>
        <w:tabs>
          <w:tab w:leader="none" w:pos="19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Sixth</w:t>
      </w:r>
      <w:r>
        <w:rPr>
          <w:rFonts w:ascii="Arial" w:cs="Arial" w:eastAsia="Arial" w:hAnsi="Arial"/>
          <w:sz w:val="18"/>
          <w:szCs w:val="18"/>
          <w:color w:val="auto"/>
        </w:rPr>
        <w:t>, to payment of any amounts owing with respect to indemnification provisions of the Loan Documents; and</w:t>
      </w:r>
    </w:p>
    <w:p>
      <w:pPr>
        <w:spacing w:after="0" w:line="184" w:lineRule="exact"/>
        <w:rPr>
          <w:rFonts w:ascii="Arial" w:cs="Arial" w:eastAsia="Arial" w:hAnsi="Arial"/>
          <w:sz w:val="18"/>
          <w:szCs w:val="18"/>
          <w:color w:val="auto"/>
        </w:rPr>
      </w:pPr>
    </w:p>
    <w:p>
      <w:pPr>
        <w:ind w:left="1940" w:hanging="636"/>
        <w:spacing w:after="0"/>
        <w:tabs>
          <w:tab w:leader="none" w:pos="1940" w:val="left"/>
        </w:tabs>
        <w:numPr>
          <w:ilvl w:val="0"/>
          <w:numId w:val="84"/>
        </w:numPr>
        <w:rPr>
          <w:rFonts w:ascii="Arial" w:cs="Arial" w:eastAsia="Arial" w:hAnsi="Arial"/>
          <w:sz w:val="20"/>
          <w:szCs w:val="20"/>
          <w:color w:val="auto"/>
        </w:rPr>
      </w:pPr>
      <w:r>
        <w:rPr>
          <w:rFonts w:ascii="Arial" w:cs="Arial" w:eastAsia="Arial" w:hAnsi="Arial"/>
          <w:sz w:val="20"/>
          <w:szCs w:val="20"/>
          <w:i w:val="1"/>
          <w:iCs w:val="1"/>
          <w:color w:val="auto"/>
        </w:rPr>
        <w:t>Seventh</w:t>
      </w:r>
      <w:r>
        <w:rPr>
          <w:rFonts w:ascii="Arial" w:cs="Arial" w:eastAsia="Arial" w:hAnsi="Arial"/>
          <w:sz w:val="20"/>
          <w:szCs w:val="20"/>
          <w:color w:val="auto"/>
        </w:rPr>
        <w:t>, to the payment of any other Obligation due to the Administrative Agent or any Lender.</w:t>
      </w:r>
    </w:p>
    <w:p>
      <w:pPr>
        <w:spacing w:after="0" w:line="162"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VIII</w:t>
      </w:r>
    </w:p>
    <w:p>
      <w:pPr>
        <w:spacing w:after="0" w:line="1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THE ADMINISTRATIVE AGENT</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0000FF"/>
        </w:rPr>
        <w:t>Section 8.01</w:t>
      </w:r>
      <w:r>
        <w:rPr>
          <w:sz w:val="20"/>
          <w:szCs w:val="20"/>
          <w:color w:val="auto"/>
        </w:rPr>
        <w:tab/>
      </w:r>
      <w:r>
        <w:rPr>
          <w:rFonts w:ascii="Arial" w:cs="Arial" w:eastAsia="Arial" w:hAnsi="Arial"/>
          <w:sz w:val="18"/>
          <w:szCs w:val="18"/>
          <w:u w:val="single" w:color="auto"/>
          <w:color w:val="0000FF"/>
        </w:rPr>
        <w:t>The Administrative Agent.</w:t>
      </w:r>
    </w:p>
    <w:p>
      <w:pPr>
        <w:spacing w:after="0" w:line="148" w:lineRule="exact"/>
        <w:rPr>
          <w:sz w:val="20"/>
          <w:szCs w:val="20"/>
          <w:color w:val="auto"/>
        </w:rPr>
      </w:pPr>
    </w:p>
    <w:p>
      <w:pPr>
        <w:ind w:right="420" w:firstLine="1304"/>
        <w:spacing w:after="0" w:line="230" w:lineRule="auto"/>
        <w:tabs>
          <w:tab w:leader="none" w:pos="1713" w:val="left"/>
        </w:tabs>
        <w:numPr>
          <w:ilvl w:val="0"/>
          <w:numId w:val="85"/>
        </w:numPr>
        <w:rPr>
          <w:rFonts w:ascii="Arial" w:cs="Arial" w:eastAsia="Arial" w:hAnsi="Arial"/>
          <w:sz w:val="19"/>
          <w:szCs w:val="19"/>
          <w:u w:val="single" w:color="auto"/>
          <w:color w:val="0000FF"/>
        </w:rPr>
      </w:pPr>
      <w:r>
        <w:rPr>
          <w:rFonts w:ascii="Arial" w:cs="Arial" w:eastAsia="Arial" w:hAnsi="Arial"/>
          <w:sz w:val="19"/>
          <w:szCs w:val="19"/>
          <w:color w:val="auto"/>
        </w:rPr>
        <w:t>Each of the Lenders and the Issuing Bank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154" w:lineRule="exact"/>
        <w:rPr>
          <w:rFonts w:ascii="Arial" w:cs="Arial" w:eastAsia="Arial" w:hAnsi="Arial"/>
          <w:sz w:val="19"/>
          <w:szCs w:val="19"/>
          <w:u w:val="single" w:color="auto"/>
          <w:color w:val="0000FF"/>
        </w:rPr>
      </w:pPr>
    </w:p>
    <w:p>
      <w:pPr>
        <w:ind w:right="140" w:firstLine="1304"/>
        <w:spacing w:after="0" w:line="213" w:lineRule="auto"/>
        <w:tabs>
          <w:tab w:leader="none" w:pos="1721" w:val="left"/>
        </w:tabs>
        <w:numPr>
          <w:ilvl w:val="0"/>
          <w:numId w:val="85"/>
        </w:numPr>
        <w:rPr>
          <w:rFonts w:ascii="Arial" w:cs="Arial" w:eastAsia="Arial" w:hAnsi="Arial"/>
          <w:sz w:val="20"/>
          <w:szCs w:val="20"/>
          <w:u w:val="single" w:color="auto"/>
          <w:color w:val="0000FF"/>
        </w:rPr>
      </w:pPr>
      <w:r>
        <w:rPr>
          <w:rFonts w:ascii="Arial" w:cs="Arial" w:eastAsia="Arial" w:hAnsi="Arial"/>
          <w:sz w:val="20"/>
          <w:szCs w:val="20"/>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Borrowers or any Subsidiary or other Affiliate thereof as if it were not the Administrative Agent hereunder.</w:t>
      </w:r>
    </w:p>
    <w:p>
      <w:pPr>
        <w:spacing w:after="0" w:line="155" w:lineRule="exact"/>
        <w:rPr>
          <w:rFonts w:ascii="Arial" w:cs="Arial" w:eastAsia="Arial" w:hAnsi="Arial"/>
          <w:sz w:val="20"/>
          <w:szCs w:val="20"/>
          <w:u w:val="single" w:color="auto"/>
          <w:color w:val="0000FF"/>
        </w:rPr>
      </w:pPr>
    </w:p>
    <w:p>
      <w:pPr>
        <w:ind w:firstLine="1304"/>
        <w:spacing w:after="0" w:line="213" w:lineRule="auto"/>
        <w:tabs>
          <w:tab w:leader="none" w:pos="1710" w:val="left"/>
        </w:tabs>
        <w:numPr>
          <w:ilvl w:val="0"/>
          <w:numId w:val="85"/>
        </w:numPr>
        <w:rPr>
          <w:rFonts w:ascii="Arial" w:cs="Arial" w:eastAsia="Arial" w:hAnsi="Arial"/>
          <w:sz w:val="19"/>
          <w:szCs w:val="19"/>
          <w:u w:val="single" w:color="auto"/>
          <w:color w:val="0000FF"/>
        </w:rPr>
      </w:pPr>
      <w:r>
        <w:rPr>
          <w:rFonts w:ascii="Arial" w:cs="Arial" w:eastAsia="Arial" w:hAnsi="Arial"/>
          <w:sz w:val="19"/>
          <w:szCs w:val="19"/>
          <w:color w:val="auto"/>
        </w:rPr>
        <w:t>The Administrative Agent shall not have any duties or obligations except those expressly set forth herein. Without limiting the generality of the foregoing, (</w:t>
      </w:r>
      <w:r>
        <w:rPr>
          <w:rFonts w:ascii="Arial" w:cs="Arial" w:eastAsia="Arial" w:hAnsi="Arial"/>
          <w:sz w:val="19"/>
          <w:szCs w:val="19"/>
          <w:color w:val="FF0000"/>
          <w:strike w:val="1"/>
        </w:rPr>
        <w:t>a</w:t>
      </w:r>
      <w:r>
        <w:rPr>
          <w:rFonts w:ascii="Arial" w:cs="Arial" w:eastAsia="Arial" w:hAnsi="Arial"/>
          <w:sz w:val="19"/>
          <w:szCs w:val="19"/>
          <w:u w:val="single" w:color="auto"/>
          <w:color w:val="0000FF"/>
        </w:rPr>
        <w:t>i</w:t>
      </w:r>
      <w:r>
        <w:rPr>
          <w:rFonts w:ascii="Arial" w:cs="Arial" w:eastAsia="Arial" w:hAnsi="Arial"/>
          <w:sz w:val="19"/>
          <w:szCs w:val="19"/>
          <w:color w:val="auto"/>
        </w:rPr>
        <w:t>) the Administrative Agent shall not be subject to any fiduciary or other implied duties, regardless of whether a Default has occurred and is continuing, (</w:t>
      </w:r>
      <w:r>
        <w:rPr>
          <w:rFonts w:ascii="Arial" w:cs="Arial" w:eastAsia="Arial" w:hAnsi="Arial"/>
          <w:sz w:val="19"/>
          <w:szCs w:val="19"/>
          <w:color w:val="FF0000"/>
          <w:strike w:val="1"/>
        </w:rPr>
        <w:t>b</w:t>
      </w:r>
      <w:r>
        <w:rPr>
          <w:rFonts w:ascii="Arial" w:cs="Arial" w:eastAsia="Arial" w:hAnsi="Arial"/>
          <w:sz w:val="19"/>
          <w:szCs w:val="19"/>
          <w:u w:val="single" w:color="auto"/>
          <w:color w:val="0000FF"/>
        </w:rPr>
        <w:t>ii</w:t>
      </w:r>
      <w:r>
        <w:rPr>
          <w:rFonts w:ascii="Arial" w:cs="Arial" w:eastAsia="Arial" w:hAnsi="Arial"/>
          <w:sz w:val="19"/>
          <w:szCs w:val="19"/>
          <w:color w:val="auto"/>
        </w:rPr>
        <w:t>)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Section 10.02), and (</w:t>
      </w:r>
      <w:r>
        <w:rPr>
          <w:rFonts w:ascii="Arial" w:cs="Arial" w:eastAsia="Arial" w:hAnsi="Arial"/>
          <w:sz w:val="19"/>
          <w:szCs w:val="19"/>
          <w:color w:val="FF0000"/>
          <w:strike w:val="1"/>
        </w:rPr>
        <w:t>c</w:t>
      </w:r>
      <w:r>
        <w:rPr>
          <w:rFonts w:ascii="Arial" w:cs="Arial" w:eastAsia="Arial" w:hAnsi="Arial"/>
          <w:sz w:val="19"/>
          <w:szCs w:val="19"/>
          <w:u w:val="single" w:color="auto"/>
          <w:color w:val="0000FF"/>
        </w:rPr>
        <w:t>iii</w:t>
      </w:r>
      <w:r>
        <w:rPr>
          <w:rFonts w:ascii="Arial" w:cs="Arial" w:eastAsia="Arial" w:hAnsi="Arial"/>
          <w:sz w:val="19"/>
          <w:szCs w:val="19"/>
          <w:color w:val="auto"/>
        </w:rPr>
        <w:t>) except as expressly set forth herein, the Administrative Agent shall not have any duty to disclose, and shall not be liable for the failure to disclose, any information relating to the Borrowers or any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10.02) or in the absence of its own gross negligence or willful misconduct. The Administrative Agent shall be deemed not to have knowledge of any Default unless and until written notice thereof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-86-</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119" w:name="page120"/>
    <w:bookmarkEnd w:id="119"/>
    <w:p>
      <w:pPr>
        <w:spacing w:after="0" w:line="231" w:lineRule="auto"/>
        <w:rPr>
          <w:sz w:val="20"/>
          <w:szCs w:val="20"/>
          <w:color w:val="auto"/>
        </w:rPr>
      </w:pPr>
      <w:r>
        <w:rPr>
          <w:rFonts w:ascii="Arial" w:cs="Arial" w:eastAsia="Arial" w:hAnsi="Arial"/>
          <w:sz w:val="18"/>
          <w:szCs w:val="18"/>
          <w:color w:val="auto"/>
        </w:rPr>
        <w:t>given to the Administrative Agent by the Company or a Lender, and the Administrative Agent shall not be responsible for or have any duty to ascertain or inquire into (</w:t>
      </w:r>
      <w:r>
        <w:rPr>
          <w:rFonts w:ascii="Arial" w:cs="Arial" w:eastAsia="Arial" w:hAnsi="Arial"/>
          <w:sz w:val="18"/>
          <w:szCs w:val="18"/>
          <w:color w:val="FF0000"/>
          <w:strike w:val="1"/>
        </w:rPr>
        <w:t>i</w:t>
      </w:r>
      <w:r>
        <w:rPr>
          <w:rFonts w:ascii="Arial" w:cs="Arial" w:eastAsia="Arial" w:hAnsi="Arial"/>
          <w:sz w:val="18"/>
          <w:szCs w:val="18"/>
          <w:u w:val="single" w:color="auto"/>
          <w:color w:val="0000FF"/>
        </w:rPr>
        <w:t>A</w:t>
      </w:r>
      <w:r>
        <w:rPr>
          <w:rFonts w:ascii="Arial" w:cs="Arial" w:eastAsia="Arial" w:hAnsi="Arial"/>
          <w:sz w:val="18"/>
          <w:szCs w:val="18"/>
          <w:color w:val="auto"/>
        </w:rPr>
        <w:t>) any statement, warranty or representation made in or in connection with this Agreement,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auto"/>
        </w:rPr>
        <w:t>) the contents of any certificate, report or other document delivered hereunder or in connection herewith, (</w:t>
      </w:r>
      <w:r>
        <w:rPr>
          <w:rFonts w:ascii="Arial" w:cs="Arial" w:eastAsia="Arial" w:hAnsi="Arial"/>
          <w:sz w:val="18"/>
          <w:szCs w:val="18"/>
          <w:color w:val="FF0000"/>
          <w:strike w:val="1"/>
        </w:rPr>
        <w:t>iii</w:t>
      </w:r>
      <w:r>
        <w:rPr>
          <w:rFonts w:ascii="Arial" w:cs="Arial" w:eastAsia="Arial" w:hAnsi="Arial"/>
          <w:sz w:val="18"/>
          <w:szCs w:val="18"/>
          <w:u w:val="single" w:color="auto"/>
          <w:color w:val="0000FF"/>
        </w:rPr>
        <w:t>C</w:t>
      </w:r>
      <w:r>
        <w:rPr>
          <w:rFonts w:ascii="Arial" w:cs="Arial" w:eastAsia="Arial" w:hAnsi="Arial"/>
          <w:sz w:val="18"/>
          <w:szCs w:val="18"/>
          <w:color w:val="auto"/>
        </w:rPr>
        <w:t>) the performance or observance of any of the covenants, agreements or other terms or conditions set forth herein, (</w:t>
      </w:r>
      <w:r>
        <w:rPr>
          <w:rFonts w:ascii="Arial" w:cs="Arial" w:eastAsia="Arial" w:hAnsi="Arial"/>
          <w:sz w:val="18"/>
          <w:szCs w:val="18"/>
          <w:color w:val="FF0000"/>
          <w:strike w:val="1"/>
        </w:rPr>
        <w:t>iv</w:t>
      </w:r>
      <w:r>
        <w:rPr>
          <w:rFonts w:ascii="Arial" w:cs="Arial" w:eastAsia="Arial" w:hAnsi="Arial"/>
          <w:sz w:val="18"/>
          <w:szCs w:val="18"/>
          <w:u w:val="single" w:color="auto"/>
          <w:color w:val="0000FF"/>
        </w:rPr>
        <w:t>D</w:t>
      </w:r>
      <w:r>
        <w:rPr>
          <w:rFonts w:ascii="Arial" w:cs="Arial" w:eastAsia="Arial" w:hAnsi="Arial"/>
          <w:sz w:val="18"/>
          <w:szCs w:val="18"/>
          <w:color w:val="auto"/>
        </w:rPr>
        <w:t>) the validity, enforceability, effectiveness or genuineness of this Agreement or any other agreement, instrument or document, or (vE) the satisfaction of any condition set forth in Article IV or elsewhere herein, other than to confirm receipt of items expressly required to be delivered to the Administrative Agent.</w:t>
      </w:r>
    </w:p>
    <w:p>
      <w:pPr>
        <w:spacing w:after="0" w:line="155" w:lineRule="exact"/>
        <w:rPr>
          <w:sz w:val="20"/>
          <w:szCs w:val="20"/>
          <w:color w:val="auto"/>
        </w:rPr>
      </w:pPr>
    </w:p>
    <w:p>
      <w:pPr>
        <w:ind w:firstLine="1304"/>
        <w:spacing w:after="0" w:line="218" w:lineRule="auto"/>
        <w:tabs>
          <w:tab w:leader="none" w:pos="1721" w:val="left"/>
        </w:tabs>
        <w:numPr>
          <w:ilvl w:val="0"/>
          <w:numId w:val="86"/>
        </w:numPr>
        <w:rPr>
          <w:rFonts w:ascii="Arial" w:cs="Arial" w:eastAsia="Arial" w:hAnsi="Arial"/>
          <w:sz w:val="19"/>
          <w:szCs w:val="19"/>
          <w:u w:val="single" w:color="auto"/>
          <w:color w:val="0000FF"/>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59" w:lineRule="exact"/>
        <w:rPr>
          <w:rFonts w:ascii="Arial" w:cs="Arial" w:eastAsia="Arial" w:hAnsi="Arial"/>
          <w:sz w:val="19"/>
          <w:szCs w:val="19"/>
          <w:u w:val="single" w:color="auto"/>
          <w:color w:val="0000FF"/>
        </w:rPr>
      </w:pPr>
    </w:p>
    <w:p>
      <w:pPr>
        <w:ind w:right="160" w:firstLine="1304"/>
        <w:spacing w:after="0" w:line="233" w:lineRule="auto"/>
        <w:tabs>
          <w:tab w:leader="none" w:pos="1710" w:val="left"/>
        </w:tabs>
        <w:numPr>
          <w:ilvl w:val="0"/>
          <w:numId w:val="86"/>
        </w:numPr>
        <w:rPr>
          <w:rFonts w:ascii="Arial" w:cs="Arial" w:eastAsia="Arial" w:hAnsi="Arial"/>
          <w:sz w:val="18"/>
          <w:szCs w:val="18"/>
          <w:u w:val="single" w:color="auto"/>
          <w:color w:val="0000FF"/>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Affiliates. The exculpatory provisions of the preceding paragraphs shall apply to any such sub-agent and to the Affiliates of the Administrative Agent and any such subagent, and shall apply to their respective activities in connection with the syndication of the credit facilities provided for herein as well as activities as Administrative Agent.</w:t>
      </w:r>
    </w:p>
    <w:p>
      <w:pPr>
        <w:spacing w:after="0" w:line="156" w:lineRule="exact"/>
        <w:rPr>
          <w:rFonts w:ascii="Arial" w:cs="Arial" w:eastAsia="Arial" w:hAnsi="Arial"/>
          <w:sz w:val="18"/>
          <w:szCs w:val="18"/>
          <w:u w:val="single" w:color="auto"/>
          <w:color w:val="0000FF"/>
        </w:rPr>
      </w:pPr>
    </w:p>
    <w:p>
      <w:pPr>
        <w:ind w:right="40" w:firstLine="1304"/>
        <w:spacing w:after="0" w:line="212" w:lineRule="auto"/>
        <w:tabs>
          <w:tab w:leader="none" w:pos="1692" w:val="left"/>
        </w:tabs>
        <w:numPr>
          <w:ilvl w:val="0"/>
          <w:numId w:val="86"/>
        </w:numPr>
        <w:rPr>
          <w:rFonts w:ascii="Arial" w:cs="Arial" w:eastAsia="Arial" w:hAnsi="Arial"/>
          <w:sz w:val="19"/>
          <w:szCs w:val="19"/>
          <w:u w:val="single" w:color="auto"/>
          <w:color w:val="0000FF"/>
        </w:rPr>
      </w:pPr>
      <w:r>
        <w:rPr>
          <w:rFonts w:ascii="Arial" w:cs="Arial" w:eastAsia="Arial" w:hAnsi="Arial"/>
          <w:sz w:val="19"/>
          <w:szCs w:val="19"/>
          <w:color w:val="auto"/>
        </w:rPr>
        <w:t>Subject to the appointment and acceptance of a successor Administrative Agent as provided in this paragraph, the Administrative Agent may resign at any time by notifying the Lenders, the Issuing Bank and the Company. Upon any such resignation, the Required Lenders shall have the right, with the consent of the Company, so long as no Event of Default exists,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Borrowers to a successor Administrative Agent shall be the same as those payable to its predecessor unless otherwise agreed between the Company and such successor. After the Administrative Agent’s resignation hereunder, the provisions of this Article and Section 10.03 shall continue in effect for the benefit of such retiring Administrative Agent, its sub agents and their respective Affiliates in respect of any actions taken or omitted to be taken by any of them while it was acting as Administrative Agent.</w:t>
      </w:r>
    </w:p>
    <w:p>
      <w:pPr>
        <w:spacing w:after="0" w:line="164" w:lineRule="exact"/>
        <w:rPr>
          <w:rFonts w:ascii="Arial" w:cs="Arial" w:eastAsia="Arial" w:hAnsi="Arial"/>
          <w:sz w:val="19"/>
          <w:szCs w:val="19"/>
          <w:u w:val="single" w:color="auto"/>
          <w:color w:val="0000FF"/>
        </w:rPr>
      </w:pPr>
    </w:p>
    <w:p>
      <w:pPr>
        <w:ind w:right="60" w:firstLine="1304"/>
        <w:spacing w:after="0" w:line="226" w:lineRule="auto"/>
        <w:tabs>
          <w:tab w:leader="none" w:pos="1724" w:val="left"/>
        </w:tabs>
        <w:numPr>
          <w:ilvl w:val="0"/>
          <w:numId w:val="86"/>
        </w:numPr>
        <w:rPr>
          <w:rFonts w:ascii="Arial" w:cs="Arial" w:eastAsia="Arial" w:hAnsi="Arial"/>
          <w:sz w:val="18"/>
          <w:szCs w:val="18"/>
          <w:u w:val="single" w:color="auto"/>
          <w:color w:val="0000FF"/>
        </w:rPr>
      </w:pPr>
      <w:r>
        <w:rPr>
          <w:rFonts w:ascii="Arial" w:cs="Arial" w:eastAsia="Arial" w:hAnsi="Arial"/>
          <w:sz w:val="18"/>
          <w:szCs w:val="18"/>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-87-</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120" w:name="page121"/>
    <w:bookmarkEnd w:id="120"/>
    <w:p>
      <w:pPr>
        <w:ind w:left="660"/>
        <w:spacing w:after="0"/>
        <w:tabs>
          <w:tab w:leader="none" w:pos="1820" w:val="left"/>
        </w:tabs>
        <w:rPr>
          <w:sz w:val="20"/>
          <w:szCs w:val="20"/>
          <w:color w:val="auto"/>
        </w:rPr>
      </w:pPr>
      <w:r>
        <w:rPr>
          <w:rFonts w:ascii="Arial" w:cs="Arial" w:eastAsia="Arial" w:hAnsi="Arial"/>
          <w:sz w:val="20"/>
          <w:szCs w:val="20"/>
          <w:u w:val="single" w:color="auto"/>
          <w:color w:val="0000FF"/>
        </w:rPr>
        <w:t>Section 8.02</w:t>
      </w:r>
      <w:r>
        <w:rPr>
          <w:sz w:val="20"/>
          <w:szCs w:val="20"/>
          <w:color w:val="auto"/>
        </w:rPr>
        <w:tab/>
      </w:r>
      <w:r>
        <w:rPr>
          <w:rFonts w:ascii="Arial" w:cs="Arial" w:eastAsia="Arial" w:hAnsi="Arial"/>
          <w:sz w:val="16"/>
          <w:szCs w:val="16"/>
          <w:u w:val="single" w:color="auto"/>
          <w:color w:val="0000FF"/>
        </w:rPr>
        <w:t>Erroneous Payments.</w:t>
      </w:r>
    </w:p>
    <w:p>
      <w:pPr>
        <w:spacing w:after="0" w:line="162" w:lineRule="exact"/>
        <w:rPr>
          <w:sz w:val="20"/>
          <w:szCs w:val="20"/>
          <w:color w:val="auto"/>
        </w:rPr>
      </w:pPr>
    </w:p>
    <w:p>
      <w:pPr>
        <w:ind w:right="20" w:firstLine="1304"/>
        <w:spacing w:after="0" w:line="222" w:lineRule="auto"/>
        <w:tabs>
          <w:tab w:leader="none" w:pos="1713" w:val="left"/>
        </w:tabs>
        <w:numPr>
          <w:ilvl w:val="0"/>
          <w:numId w:val="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If the Administrative Agent (x) notifies a Lender, Issuing Bank or any Person who has received funds on behalf of a Lender (any such Lender, Issuing Bank or other recipient, which, for the avoidance of doubt, shall not include any Loan Party (and each of their respective successors and assigns), a “</w:t>
      </w:r>
      <w:r>
        <w:rPr>
          <w:rFonts w:ascii="Arial" w:cs="Arial" w:eastAsia="Arial" w:hAnsi="Arial"/>
          <w:sz w:val="18"/>
          <w:szCs w:val="18"/>
          <w:b w:val="1"/>
          <w:bCs w:val="1"/>
          <w:i w:val="1"/>
          <w:iCs w:val="1"/>
          <w:u w:val="single" w:color="auto"/>
          <w:color w:val="0000FF"/>
        </w:rPr>
        <w:t>Payment Recipient</w:t>
      </w:r>
      <w:r>
        <w:rPr>
          <w:rFonts w:ascii="Arial" w:cs="Arial" w:eastAsia="Arial" w:hAnsi="Arial"/>
          <w:sz w:val="18"/>
          <w:szCs w:val="18"/>
          <w:u w:val="single" w:color="auto"/>
          <w:color w:val="0000FF"/>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or other Payment Recipient on its behalf) (any such funds, whether transmitted or received as a payment, prepayment or repayment of principal, interest, fees, distribution or otherwise, individually and collectively, an “</w:t>
      </w:r>
      <w:r>
        <w:rPr>
          <w:rFonts w:ascii="Arial" w:cs="Arial" w:eastAsia="Arial" w:hAnsi="Arial"/>
          <w:sz w:val="18"/>
          <w:szCs w:val="18"/>
          <w:b w:val="1"/>
          <w:bCs w:val="1"/>
          <w:i w:val="1"/>
          <w:iCs w:val="1"/>
          <w:u w:val="single" w:color="auto"/>
          <w:color w:val="0000FF"/>
        </w:rPr>
        <w:t>Erroneous Payment</w:t>
      </w:r>
      <w:r>
        <w:rPr>
          <w:rFonts w:ascii="Arial" w:cs="Arial" w:eastAsia="Arial" w:hAnsi="Arial"/>
          <w:sz w:val="18"/>
          <w:szCs w:val="18"/>
          <w:u w:val="single" w:color="auto"/>
          <w:color w:val="0000FF"/>
        </w:rPr>
        <w:t>”) and (y) demands in writing the return of such Erroneous Payment (or a portion thereof) (provided, that, without limiting any other rights or remedies (whether at law or in equity), the Administrative Agent may not make any such demand under this clause (a) with respect to an Erroneous Payment unless such demand is made within 5 Business Days of the date of receipt of such Erroneous Payment by the applicable Payment Recipient), such Erroneous Payment shall at all times remain the property of the Administrative Agent pending its return or repayment as contemplated below in this Section 8.02 and held in trust for the benefit of the Administrative Agent, and such Lender or Issuing Bank shall (or, with respect to any Payment Recipient who received such funds on its behalf, shall cause such Payment Recipient to) promptly, but in no event later than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64" w:lineRule="exact"/>
        <w:rPr>
          <w:rFonts w:ascii="Arial" w:cs="Arial" w:eastAsia="Arial" w:hAnsi="Arial"/>
          <w:sz w:val="18"/>
          <w:szCs w:val="18"/>
          <w:u w:val="single" w:color="auto"/>
          <w:color w:val="0000FF"/>
        </w:rPr>
      </w:pPr>
    </w:p>
    <w:p>
      <w:pPr>
        <w:ind w:firstLine="1304"/>
        <w:spacing w:after="0" w:line="228" w:lineRule="auto"/>
        <w:tabs>
          <w:tab w:leader="none" w:pos="1724" w:val="left"/>
        </w:tabs>
        <w:numPr>
          <w:ilvl w:val="0"/>
          <w:numId w:val="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Without limiting immediately preceding clause (a), each Lender, Issuing Bank or any Person who has received funds on behalf of a Lender or Issuing Bank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other such recipient otherwise becomes aware was transmitted, or received, in error or by mistake (in whole or in part), then in each such case:</w:t>
      </w:r>
    </w:p>
    <w:p>
      <w:pPr>
        <w:spacing w:after="0" w:line="154" w:lineRule="exact"/>
        <w:rPr>
          <w:rFonts w:ascii="Arial" w:cs="Arial" w:eastAsia="Arial" w:hAnsi="Arial"/>
          <w:sz w:val="18"/>
          <w:szCs w:val="18"/>
          <w:u w:val="single" w:color="auto"/>
          <w:color w:val="0000FF"/>
        </w:rPr>
      </w:pPr>
    </w:p>
    <w:p>
      <w:pPr>
        <w:ind w:left="660" w:right="120" w:firstLine="1292"/>
        <w:spacing w:after="0" w:line="213" w:lineRule="auto"/>
        <w:tabs>
          <w:tab w:leader="none" w:pos="2341" w:val="left"/>
        </w:tabs>
        <w:numPr>
          <w:ilvl w:val="1"/>
          <w:numId w:val="87"/>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155" w:lineRule="exact"/>
        <w:rPr>
          <w:rFonts w:ascii="Arial" w:cs="Arial" w:eastAsia="Arial" w:hAnsi="Arial"/>
          <w:sz w:val="20"/>
          <w:szCs w:val="20"/>
          <w:u w:val="single" w:color="auto"/>
          <w:color w:val="0000FF"/>
        </w:rPr>
      </w:pPr>
    </w:p>
    <w:p>
      <w:pPr>
        <w:ind w:left="660" w:right="100" w:firstLine="1292"/>
        <w:spacing w:after="0" w:line="210" w:lineRule="auto"/>
        <w:tabs>
          <w:tab w:leader="none" w:pos="2395" w:val="left"/>
        </w:tabs>
        <w:numPr>
          <w:ilvl w:val="1"/>
          <w:numId w:val="87"/>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such Lender or Issuing Bank shall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8.02(b).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-88-</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911860</wp:posOffset>
            </wp:positionV>
            <wp:extent cx="8255" cy="436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8255" cy="436880"/>
                    </a:xfrm>
                    <a:prstGeom prst="rect">
                      <a:avLst/>
                    </a:prstGeom>
                    <a:noFill/>
                  </pic:spPr>
                </pic:pic>
              </a:graphicData>
            </a:graphic>
          </wp:anchor>
        </w:drawing>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For the avoidance of doubt, the failure to deliver a notice to the Administrative Agent pursuant to this Section 8.02(b) shall not have</w:t>
      </w:r>
    </w:p>
    <w:p>
      <w:pPr>
        <w:spacing w:after="0" w:line="12" w:lineRule="exact"/>
        <w:rPr>
          <w:sz w:val="20"/>
          <w:szCs w:val="20"/>
          <w:color w:val="auto"/>
        </w:rPr>
      </w:pPr>
    </w:p>
    <w:p>
      <w:pPr>
        <w:ind w:left="660" w:right="360"/>
        <w:spacing w:after="0" w:line="220" w:lineRule="auto"/>
        <w:rPr>
          <w:sz w:val="20"/>
          <w:szCs w:val="20"/>
          <w:color w:val="auto"/>
        </w:rPr>
      </w:pPr>
      <w:r>
        <w:rPr>
          <w:rFonts w:ascii="Arial" w:cs="Arial" w:eastAsia="Arial" w:hAnsi="Arial"/>
          <w:sz w:val="20"/>
          <w:szCs w:val="20"/>
          <w:u w:val="single" w:color="auto"/>
          <w:color w:val="0000FF"/>
        </w:rPr>
        <w:t>any effect on a Payment Recipient’s obligations pursuant to Section 8.02(a) or on whether or not an Erroneous Payment has been made.</w:t>
      </w:r>
    </w:p>
    <w:p>
      <w:pPr>
        <w:spacing w:after="0" w:line="156" w:lineRule="exact"/>
        <w:rPr>
          <w:sz w:val="20"/>
          <w:szCs w:val="20"/>
          <w:color w:val="auto"/>
        </w:rPr>
      </w:pPr>
    </w:p>
    <w:p>
      <w:pPr>
        <w:ind w:right="120" w:firstLine="1304"/>
        <w:spacing w:after="0" w:line="236" w:lineRule="auto"/>
        <w:tabs>
          <w:tab w:leader="none" w:pos="1713" w:val="left"/>
        </w:tabs>
        <w:numPr>
          <w:ilvl w:val="0"/>
          <w:numId w:val="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clause (a).</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(d)</w:t>
      </w:r>
    </w:p>
    <w:p>
      <w:pPr>
        <w:spacing w:after="0" w:line="175" w:lineRule="exact"/>
        <w:rPr>
          <w:sz w:val="20"/>
          <w:szCs w:val="20"/>
          <w:color w:val="auto"/>
        </w:rPr>
      </w:pPr>
    </w:p>
    <w:p>
      <w:pPr>
        <w:ind w:left="660" w:firstLine="1292"/>
        <w:spacing w:after="0" w:line="221" w:lineRule="auto"/>
        <w:tabs>
          <w:tab w:leader="none" w:pos="2341" w:val="left"/>
        </w:tabs>
        <w:numPr>
          <w:ilvl w:val="0"/>
          <w:numId w:val="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8"/>
          <w:szCs w:val="18"/>
          <w:b w:val="1"/>
          <w:bCs w:val="1"/>
          <w:i w:val="1"/>
          <w:iCs w:val="1"/>
          <w:u w:val="single" w:color="auto"/>
          <w:color w:val="0000FF"/>
        </w:rPr>
        <w:t>Erroneous Payment Return Deficiency</w:t>
      </w:r>
      <w:r>
        <w:rPr>
          <w:rFonts w:ascii="Arial" w:cs="Arial" w:eastAsia="Arial" w:hAnsi="Arial"/>
          <w:sz w:val="18"/>
          <w:szCs w:val="18"/>
          <w:u w:val="single" w:color="auto"/>
          <w:color w:val="0000FF"/>
        </w:rPr>
        <w:t>”),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w:t>
      </w:r>
      <w:r>
        <w:rPr>
          <w:rFonts w:ascii="Arial" w:cs="Arial" w:eastAsia="Arial" w:hAnsi="Arial"/>
          <w:sz w:val="18"/>
          <w:szCs w:val="18"/>
          <w:b w:val="1"/>
          <w:bCs w:val="1"/>
          <w:i w:val="1"/>
          <w:iCs w:val="1"/>
          <w:u w:val="single" w:color="auto"/>
          <w:color w:val="0000FF"/>
        </w:rPr>
        <w:t>Erroneous Payment Impacted Class</w:t>
      </w:r>
      <w:r>
        <w:rPr>
          <w:rFonts w:ascii="Arial" w:cs="Arial" w:eastAsia="Arial" w:hAnsi="Arial"/>
          <w:sz w:val="18"/>
          <w:szCs w:val="18"/>
          <w:u w:val="single" w:color="auto"/>
          <w:color w:val="0000FF"/>
        </w:rPr>
        <w:t>”) in an amount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8"/>
          <w:szCs w:val="18"/>
          <w:b w:val="1"/>
          <w:bCs w:val="1"/>
          <w:i w:val="1"/>
          <w:iCs w:val="1"/>
          <w:u w:val="single" w:color="auto"/>
          <w:color w:val="0000FF"/>
        </w:rPr>
        <w:t>Erroneous Payment Deficiency Assignment</w:t>
      </w:r>
      <w:r>
        <w:rPr>
          <w:rFonts w:ascii="Arial" w:cs="Arial" w:eastAsia="Arial" w:hAnsi="Arial"/>
          <w:sz w:val="18"/>
          <w:szCs w:val="18"/>
          <w:u w:val="single" w:color="auto"/>
          <w:color w:val="0000FF"/>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electronic platform approved by the Administrative Agent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76" w:lineRule="exact"/>
        <w:rPr>
          <w:rFonts w:ascii="Arial" w:cs="Arial" w:eastAsia="Arial" w:hAnsi="Arial"/>
          <w:sz w:val="18"/>
          <w:szCs w:val="18"/>
          <w:u w:val="single" w:color="auto"/>
          <w:color w:val="0000FF"/>
        </w:rPr>
      </w:pPr>
    </w:p>
    <w:p>
      <w:pPr>
        <w:ind w:left="660" w:right="20" w:firstLine="1292"/>
        <w:spacing w:after="0" w:line="207" w:lineRule="auto"/>
        <w:tabs>
          <w:tab w:leader="none" w:pos="2395" w:val="left"/>
        </w:tabs>
        <w:numPr>
          <w:ilvl w:val="0"/>
          <w:numId w:val="89"/>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Subject to Section 10.04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-89-</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40" w:right="359" w:bottom="1440" w:gutter="0" w:footer="0" w:header="0"/>
        </w:sectPr>
      </w:pPr>
    </w:p>
    <w:bookmarkStart w:id="122" w:name="page123"/>
    <w:bookmarkEnd w:id="122"/>
    <w:p>
      <w:pPr>
        <w:ind w:left="660" w:right="60"/>
        <w:spacing w:after="0" w:line="207" w:lineRule="auto"/>
        <w:rPr>
          <w:sz w:val="20"/>
          <w:szCs w:val="20"/>
          <w:color w:val="auto"/>
        </w:rPr>
      </w:pPr>
      <w:r>
        <w:rPr>
          <w:rFonts w:ascii="Arial" w:cs="Arial" w:eastAsia="Arial" w:hAnsi="Arial"/>
          <w:sz w:val="20"/>
          <w:szCs w:val="20"/>
          <w:u w:val="single" w:color="auto"/>
          <w:color w:val="0000FF"/>
        </w:rPr>
        <w:t>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60" w:lineRule="exact"/>
        <w:rPr>
          <w:sz w:val="20"/>
          <w:szCs w:val="20"/>
          <w:color w:val="auto"/>
        </w:rPr>
      </w:pPr>
    </w:p>
    <w:p>
      <w:pPr>
        <w:ind w:right="20" w:firstLine="1304"/>
        <w:spacing w:after="0" w:line="224" w:lineRule="auto"/>
        <w:tabs>
          <w:tab w:leader="none" w:pos="1713" w:val="left"/>
        </w:tabs>
        <w:numPr>
          <w:ilvl w:val="0"/>
          <w:numId w:val="9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Issuing Bank, to the rights and interests of such Lender or Issuing Bank, as the case may be) under the Loan Documents with respect to such amount (the “</w:t>
      </w:r>
      <w:r>
        <w:rPr>
          <w:rFonts w:ascii="Arial" w:cs="Arial" w:eastAsia="Arial" w:hAnsi="Arial"/>
          <w:sz w:val="18"/>
          <w:szCs w:val="18"/>
          <w:b w:val="1"/>
          <w:bCs w:val="1"/>
          <w:i w:val="1"/>
          <w:iCs w:val="1"/>
          <w:u w:val="single" w:color="auto"/>
          <w:color w:val="0000FF"/>
        </w:rPr>
        <w:t>Erroneous Payment Subrogation</w:t>
      </w:r>
      <w:r>
        <w:rPr>
          <w:rFonts w:ascii="Arial" w:cs="Arial" w:eastAsia="Arial" w:hAnsi="Arial"/>
          <w:sz w:val="18"/>
          <w:szCs w:val="18"/>
          <w:u w:val="single" w:color="auto"/>
          <w:color w:val="0000FF"/>
        </w:rPr>
        <w:t xml:space="preserve"> </w:t>
      </w:r>
      <w:r>
        <w:rPr>
          <w:rFonts w:ascii="Arial" w:cs="Arial" w:eastAsia="Arial" w:hAnsi="Arial"/>
          <w:sz w:val="18"/>
          <w:szCs w:val="18"/>
          <w:b w:val="1"/>
          <w:bCs w:val="1"/>
          <w:i w:val="1"/>
          <w:iCs w:val="1"/>
          <w:u w:val="single" w:color="auto"/>
          <w:color w:val="0000FF"/>
        </w:rPr>
        <w:t>Rights</w:t>
      </w:r>
      <w:r>
        <w:rPr>
          <w:rFonts w:ascii="Arial" w:cs="Arial" w:eastAsia="Arial" w:hAnsi="Arial"/>
          <w:sz w:val="18"/>
          <w:szCs w:val="18"/>
          <w:u w:val="single" w:color="auto"/>
          <w:color w:val="0000FF"/>
        </w:rPr>
        <w:t>”) (provided that the Loan Parties’ Obligations under the Loan Documents in respect of the Erroneous Payment Subrogation Rights</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u w:val="single" w:color="auto"/>
          <w:color w:val="0000FF"/>
        </w:rPr>
        <w:t>shall not be duplicative of such Obligations in respect of Loans that have been assigned to the Administrative Agent under an Erroneous Payment Deficiency Assignment) and (y) an Erroneous Payment shall not pay, prepay, repay, discharge or otherwise satisfy any Obligations by the Borrower or any other Loan Party; provided that this Section 8.02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57" w:lineRule="exact"/>
        <w:rPr>
          <w:rFonts w:ascii="Arial" w:cs="Arial" w:eastAsia="Arial" w:hAnsi="Arial"/>
          <w:sz w:val="18"/>
          <w:szCs w:val="18"/>
          <w:u w:val="single" w:color="auto"/>
          <w:color w:val="0000FF"/>
        </w:rPr>
      </w:pPr>
    </w:p>
    <w:p>
      <w:pPr>
        <w:ind w:right="80" w:firstLine="1304"/>
        <w:spacing w:after="0" w:line="213" w:lineRule="auto"/>
        <w:tabs>
          <w:tab w:leader="none" w:pos="1692" w:val="left"/>
        </w:tabs>
        <w:numPr>
          <w:ilvl w:val="0"/>
          <w:numId w:val="90"/>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55" w:lineRule="exact"/>
        <w:rPr>
          <w:rFonts w:ascii="Arial" w:cs="Arial" w:eastAsia="Arial" w:hAnsi="Arial"/>
          <w:sz w:val="20"/>
          <w:szCs w:val="20"/>
          <w:u w:val="single" w:color="auto"/>
          <w:color w:val="0000FF"/>
        </w:rPr>
      </w:pPr>
    </w:p>
    <w:p>
      <w:pPr>
        <w:ind w:firstLine="1304"/>
        <w:spacing w:after="0" w:line="218" w:lineRule="auto"/>
        <w:tabs>
          <w:tab w:leader="none" w:pos="1724" w:val="left"/>
        </w:tabs>
        <w:numPr>
          <w:ilvl w:val="0"/>
          <w:numId w:val="90"/>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Each party’s obligations, agreements and waivers under this Section 8.02 shall survive the resignation or replacement of the Administrative Agent, any transfer of rights or obligations by, or the replacement of, a Lender or Issuing Bank, the termination of the Commitments and/or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-90-</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u w:val="single" w:color="auto"/>
          <w:color w:val="0000FF"/>
        </w:rPr>
        <w:t>repayment, satisfaction or discharge of all Obligations (or any portion thereof) under any Loan Document.</w:t>
      </w:r>
    </w:p>
    <w:p>
      <w:pPr>
        <w:spacing w:after="0" w:line="162" w:lineRule="exact"/>
        <w:rPr>
          <w:sz w:val="20"/>
          <w:szCs w:val="20"/>
          <w:color w:val="auto"/>
        </w:rPr>
      </w:pPr>
    </w:p>
    <w:p>
      <w:pPr>
        <w:ind w:right="300" w:firstLine="1304"/>
        <w:spacing w:after="0" w:line="218" w:lineRule="auto"/>
        <w:tabs>
          <w:tab w:leader="none" w:pos="1724" w:val="left"/>
        </w:tabs>
        <w:numPr>
          <w:ilvl w:val="0"/>
          <w:numId w:val="91"/>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Notwithstanding anything to the contrary contained herein or in any other loan document, no Loan Party nor any of their respective Affiliates shall have any obligations or liabilities directly or indirectly arising out of this Section 8.02 in respect of any Erroneous Payment.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IX</w:t>
      </w:r>
    </w:p>
    <w:p>
      <w:pPr>
        <w:spacing w:after="0" w:line="148"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GUARANTY</w:t>
      </w:r>
    </w:p>
    <w:p>
      <w:pPr>
        <w:spacing w:after="0" w:line="175" w:lineRule="exact"/>
        <w:rPr>
          <w:sz w:val="20"/>
          <w:szCs w:val="20"/>
          <w:color w:val="auto"/>
        </w:rPr>
      </w:pPr>
    </w:p>
    <w:p>
      <w:pPr>
        <w:ind w:firstLine="648"/>
        <w:spacing w:after="0" w:line="212"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Guaranty by the Company</w:t>
      </w:r>
      <w:r>
        <w:rPr>
          <w:rFonts w:ascii="Arial" w:cs="Arial" w:eastAsia="Arial" w:hAnsi="Arial"/>
          <w:sz w:val="19"/>
          <w:szCs w:val="19"/>
          <w:color w:val="auto"/>
        </w:rPr>
        <w:t>. The Company hereby unconditionally guarantees, for the benefit of the Credit Parties, all of the following (collectively, the “</w:t>
      </w:r>
      <w:r>
        <w:rPr>
          <w:rFonts w:ascii="Arial" w:cs="Arial" w:eastAsia="Arial" w:hAnsi="Arial"/>
          <w:sz w:val="19"/>
          <w:szCs w:val="19"/>
          <w:b w:val="1"/>
          <w:bCs w:val="1"/>
          <w:i w:val="1"/>
          <w:iCs w:val="1"/>
          <w:color w:val="auto"/>
        </w:rPr>
        <w:t>Company Guaranteed Obligations</w:t>
      </w:r>
      <w:r>
        <w:rPr>
          <w:rFonts w:ascii="Arial" w:cs="Arial" w:eastAsia="Arial" w:hAnsi="Arial"/>
          <w:sz w:val="19"/>
          <w:szCs w:val="19"/>
          <w:color w:val="auto"/>
        </w:rPr>
        <w:t>”): (a) all Loans and all other Obligations owing at any time by any Borrower (other than the Company), (b) all reimbursement obligations with respect to Letters of Credit issued for the benefit of any Loan Party or any Subsidiary (other than the Company) under this Agreement, and (c) all amounts, indemnities and reimbursement obligations, direct or indirect, contingent or absolute, of every type or description, and at any time existing owing by any Borrower (other than the Company) or any Subsidiary of the Company under any Designated Hedge Agreement or any other document or agreement executed and delivered in connection therewith to any Designated Hedge Creditor, in each case, other than any Excluded Swap Obligations, and in all cases under subparts (a), (b) or (c) above, whether now existing, or hereafter incurred or arising, including any such interest or other amounts incurred or arising during the pendency of any bankruptcy, insolvency, reorganization, receivership or similar proceeding, regardless of whether allowed or allowable in such proceeding or subject to an automatic stay under Section 362(a) of the Bankruptcy Code). Upon failure by any Loan Party to pay punctually any of the Company Guaranteed Obligations, the Company shall forthwith on demand by the Administrative Agent pay the amount not so paid at the place and in the currency and otherwise in the manner specified in this Agreement or any other applicable agreement or instrument.</w:t>
      </w:r>
    </w:p>
    <w:p>
      <w:pPr>
        <w:spacing w:after="0" w:line="137" w:lineRule="exact"/>
        <w:rPr>
          <w:sz w:val="20"/>
          <w:szCs w:val="20"/>
          <w:color w:val="auto"/>
        </w:rPr>
      </w:pPr>
    </w:p>
    <w:p>
      <w:pPr>
        <w:jc w:val="both"/>
        <w:ind w:right="180" w:firstLine="648"/>
        <w:spacing w:after="0" w:line="218"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Guaranty Unconditional</w:t>
      </w:r>
      <w:r>
        <w:rPr>
          <w:rFonts w:ascii="Arial" w:cs="Arial" w:eastAsia="Arial" w:hAnsi="Arial"/>
          <w:sz w:val="20"/>
          <w:szCs w:val="20"/>
          <w:color w:val="auto"/>
        </w:rPr>
        <w:t>. The obligations of the Company under this Article IX shall be irrevocable, unconditional and absolute and, without limiting the generality of the foregoing shall not be released, discharged or otherwise affected by the occurrence, one or more times, of any of the following:</w:t>
      </w:r>
    </w:p>
    <w:p>
      <w:pPr>
        <w:spacing w:after="0" w:line="143" w:lineRule="exact"/>
        <w:rPr>
          <w:sz w:val="20"/>
          <w:szCs w:val="20"/>
          <w:color w:val="auto"/>
        </w:rPr>
      </w:pPr>
    </w:p>
    <w:p>
      <w:pPr>
        <w:ind w:right="900" w:firstLine="1304"/>
        <w:spacing w:after="0" w:line="229" w:lineRule="auto"/>
        <w:tabs>
          <w:tab w:leader="none" w:pos="1934"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extension, renewal, settlement, compromise, waiver or release in respect to the Company Guaranteed Obligations under any agreement or instrument, by operation of law or otherwise;</w:t>
      </w:r>
    </w:p>
    <w:p>
      <w:pPr>
        <w:spacing w:after="0" w:line="141" w:lineRule="exact"/>
        <w:rPr>
          <w:rFonts w:ascii="Arial" w:cs="Arial" w:eastAsia="Arial" w:hAnsi="Arial"/>
          <w:sz w:val="20"/>
          <w:szCs w:val="20"/>
          <w:color w:val="auto"/>
        </w:rPr>
      </w:pPr>
    </w:p>
    <w:p>
      <w:pPr>
        <w:ind w:right="260" w:firstLine="1304"/>
        <w:spacing w:after="0" w:line="229" w:lineRule="auto"/>
        <w:tabs>
          <w:tab w:leader="none" w:pos="1932"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modification or amendment of or supplement to this Agreement, any Note, any other Loan Document, or any agreement or instrument evidencing or relating to the Company Guaranteed Obligations;</w:t>
      </w:r>
    </w:p>
    <w:p>
      <w:pPr>
        <w:spacing w:after="0" w:line="128" w:lineRule="exact"/>
        <w:rPr>
          <w:rFonts w:ascii="Arial" w:cs="Arial" w:eastAsia="Arial" w:hAnsi="Arial"/>
          <w:sz w:val="20"/>
          <w:szCs w:val="20"/>
          <w:color w:val="auto"/>
        </w:rPr>
      </w:pPr>
    </w:p>
    <w:p>
      <w:pPr>
        <w:ind w:right="160" w:firstLine="1304"/>
        <w:spacing w:after="0" w:line="229" w:lineRule="auto"/>
        <w:tabs>
          <w:tab w:leader="none" w:pos="1934"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release, non-perfection or invalidity of any direct or indirect security for the Company Guaranteed Obligations under any agreement or instrument evidencing or relating to any of the Company Guaranteed Obligations;</w:t>
      </w:r>
    </w:p>
    <w:p>
      <w:pPr>
        <w:spacing w:after="0" w:line="141" w:lineRule="exact"/>
        <w:rPr>
          <w:rFonts w:ascii="Arial" w:cs="Arial" w:eastAsia="Arial" w:hAnsi="Arial"/>
          <w:sz w:val="20"/>
          <w:szCs w:val="20"/>
          <w:color w:val="auto"/>
        </w:rPr>
      </w:pPr>
    </w:p>
    <w:p>
      <w:pPr>
        <w:ind w:right="80" w:firstLine="1304"/>
        <w:spacing w:after="0" w:line="218" w:lineRule="auto"/>
        <w:tabs>
          <w:tab w:leader="none" w:pos="1932"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change in the corporate existence, structure or ownership of any Loan Party or other Subsidiary or any insolvency, bankruptcy, reorganization or other similar proceeding affecting any Loan Party or other Subsidiary or its assets or any resulting release or discharge of any obligation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-91-</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180"/>
          </w:cols>
          <w:pgMar w:left="320" w:top="1405" w:right="399" w:bottom="1440" w:gutter="0" w:footer="0" w:header="0"/>
        </w:sectPr>
      </w:pPr>
    </w:p>
    <w:bookmarkStart w:id="124" w:name="page125"/>
    <w:bookmarkEnd w:id="124"/>
    <w:p>
      <w:pPr>
        <w:ind w:right="460"/>
        <w:spacing w:after="0" w:line="229" w:lineRule="auto"/>
        <w:rPr>
          <w:sz w:val="20"/>
          <w:szCs w:val="20"/>
          <w:color w:val="auto"/>
        </w:rPr>
      </w:pPr>
      <w:r>
        <w:rPr>
          <w:rFonts w:ascii="Arial" w:cs="Arial" w:eastAsia="Arial" w:hAnsi="Arial"/>
          <w:sz w:val="20"/>
          <w:szCs w:val="20"/>
          <w:color w:val="auto"/>
        </w:rPr>
        <w:t>any Loan Party or other Subsidiary contained in any agreement or instrument evidencing or relating to any of the Company Guaranteed Obligations;</w:t>
      </w:r>
    </w:p>
    <w:p>
      <w:pPr>
        <w:spacing w:after="0" w:line="142" w:lineRule="exact"/>
        <w:rPr>
          <w:sz w:val="20"/>
          <w:szCs w:val="20"/>
          <w:color w:val="auto"/>
        </w:rPr>
      </w:pPr>
    </w:p>
    <w:p>
      <w:pPr>
        <w:ind w:right="160" w:firstLine="1304"/>
        <w:spacing w:after="0" w:line="218" w:lineRule="auto"/>
        <w:tabs>
          <w:tab w:leader="none" w:pos="1934"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existence of any claim, set-off or other rights which the Company may have at any time against any other Loan Party, the Administrative Agent, any Lender, any Affiliate of any Lender or any other Person, whether in connection herewith or any unrelated transactions;</w:t>
      </w:r>
    </w:p>
    <w:p>
      <w:pPr>
        <w:spacing w:after="0" w:line="129" w:lineRule="exact"/>
        <w:rPr>
          <w:rFonts w:ascii="Arial" w:cs="Arial" w:eastAsia="Arial" w:hAnsi="Arial"/>
          <w:sz w:val="20"/>
          <w:szCs w:val="20"/>
          <w:color w:val="auto"/>
        </w:rPr>
      </w:pPr>
    </w:p>
    <w:p>
      <w:pPr>
        <w:ind w:firstLine="1304"/>
        <w:spacing w:after="0" w:line="236" w:lineRule="auto"/>
        <w:tabs>
          <w:tab w:leader="none" w:pos="1939"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any other Loan Party for any reason of any agreement or instrument evidencing or relating to any of the Company Guaranteed Obligations, or any provision of applicable law or regulation purporting to prohibit the payment by any Loan Party of any of the Company Guaranteed Obligations, or any decree or order prohibiting any Loan Party from paying, or releasing or discharging the obligation of any Loan Party to pay, any of the Company Guaranteed Obligations; or</w:t>
      </w:r>
    </w:p>
    <w:p>
      <w:pPr>
        <w:spacing w:after="0" w:line="144" w:lineRule="exact"/>
        <w:rPr>
          <w:rFonts w:ascii="Arial" w:cs="Arial" w:eastAsia="Arial" w:hAnsi="Arial"/>
          <w:sz w:val="18"/>
          <w:szCs w:val="18"/>
          <w:color w:val="auto"/>
        </w:rPr>
      </w:pPr>
    </w:p>
    <w:p>
      <w:pPr>
        <w:ind w:right="160" w:firstLine="1304"/>
        <w:spacing w:after="0" w:line="233" w:lineRule="auto"/>
        <w:tabs>
          <w:tab w:leader="none" w:pos="19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act or omission of any kind by any other Loan Party, the Administrative Agent, any Lender or any other Person or any other circumstance whatsoever which might, but for the provisions of this Article, constitute a legal or equitable discharge of any Borrowers’ obligations under this Section, all of which the Company hereby unconditionally waives to the fullest extent permitted by law, other than the payment in full of all Company Guaranteed Obligations (other than amounts in respect of indemnification, expense reimbursement, tax gross-up or contingent obligations in each case that are owing and with respect to which no claim has been made).</w:t>
      </w:r>
    </w:p>
    <w:p>
      <w:pPr>
        <w:spacing w:after="0" w:line="143"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Waivers</w:t>
      </w:r>
      <w:r>
        <w:rPr>
          <w:rFonts w:ascii="Arial" w:cs="Arial" w:eastAsia="Arial" w:hAnsi="Arial"/>
          <w:sz w:val="18"/>
          <w:szCs w:val="18"/>
          <w:color w:val="auto"/>
        </w:rPr>
        <w:t xml:space="preserve">. The Company unconditionally waives, to the extent permitted under any applicable law now or hereafter in effect, insofar as its obligations under this Article IX are concerned, (a) notice of any of the matters referred to in Section 9.02, (b) all notices required by statute, rule of law or otherwise to preserve any rights against the Company hereunder, including, without limitation, any demand, presentment, proof or notice of dishonor or non-payment of any of the Company Guaranteed Obligations, notice of acceptance of the provisions of this Article IX, notice of the incurrence of any of the Company Guaranteed Obligations, notice of any failure on the part of any Loan Party, any of their Subsidiaries or Affiliates, or any other Person, to perform or comply with any term or provision of </w:t>
      </w:r>
      <w:r>
        <w:rPr>
          <w:rFonts w:ascii="Arial" w:cs="Arial" w:eastAsia="Arial" w:hAnsi="Arial"/>
          <w:sz w:val="18"/>
          <w:szCs w:val="18"/>
          <w:color w:val="FF0000"/>
          <w:strike w:val="1"/>
        </w:rPr>
        <w:t>the Credit</w:t>
      </w:r>
      <w:r>
        <w:rPr>
          <w:rFonts w:ascii="Arial" w:cs="Arial" w:eastAsia="Arial" w:hAnsi="Arial"/>
          <w:sz w:val="18"/>
          <w:szCs w:val="18"/>
          <w:u w:val="single" w:color="auto"/>
          <w:color w:val="0000FF"/>
        </w:rPr>
        <w:t>this</w:t>
      </w:r>
      <w:r>
        <w:rPr>
          <w:rFonts w:ascii="Arial" w:cs="Arial" w:eastAsia="Arial" w:hAnsi="Arial"/>
          <w:sz w:val="18"/>
          <w:szCs w:val="18"/>
          <w:color w:val="auto"/>
        </w:rPr>
        <w:t xml:space="preserve"> Agreement, any other Loan Document or any other agreement or instrument to which the such Loan Party or any other Person is a party, or notice of the commencement of any proceeding against any other Person or its any of its property or assets, (c) any right to the enforcement, assertion or exercise against any Loan Party or against any other Person or any collateral of any right, power or remedy under or in respect of </w:t>
      </w:r>
      <w:r>
        <w:rPr>
          <w:rFonts w:ascii="Arial" w:cs="Arial" w:eastAsia="Arial" w:hAnsi="Arial"/>
          <w:sz w:val="18"/>
          <w:szCs w:val="18"/>
          <w:color w:val="FF0000"/>
          <w:strike w:val="1"/>
        </w:rPr>
        <w:t>the Credit</w:t>
      </w:r>
      <w:r>
        <w:rPr>
          <w:rFonts w:ascii="Arial" w:cs="Arial" w:eastAsia="Arial" w:hAnsi="Arial"/>
          <w:sz w:val="18"/>
          <w:szCs w:val="18"/>
          <w:u w:val="single" w:color="auto"/>
          <w:color w:val="0000FF"/>
        </w:rPr>
        <w:t>this</w:t>
      </w:r>
      <w:r>
        <w:rPr>
          <w:rFonts w:ascii="Arial" w:cs="Arial" w:eastAsia="Arial" w:hAnsi="Arial"/>
          <w:sz w:val="18"/>
          <w:szCs w:val="18"/>
          <w:color w:val="FF0000"/>
        </w:rPr>
        <w:t xml:space="preserve"> </w:t>
      </w:r>
      <w:r>
        <w:rPr>
          <w:rFonts w:ascii="Arial" w:cs="Arial" w:eastAsia="Arial" w:hAnsi="Arial"/>
          <w:sz w:val="18"/>
          <w:szCs w:val="18"/>
          <w:color w:val="000000"/>
        </w:rPr>
        <w:t>Agreement, any other Loan Document or any other agreement or instrument, and (d) any requirement that any such Loan Party</w:t>
      </w:r>
      <w:r>
        <w:rPr>
          <w:rFonts w:ascii="Arial" w:cs="Arial" w:eastAsia="Arial" w:hAnsi="Arial"/>
          <w:sz w:val="18"/>
          <w:szCs w:val="18"/>
          <w:color w:val="FF0000"/>
        </w:rPr>
        <w:t xml:space="preserve"> </w:t>
      </w:r>
      <w:r>
        <w:rPr>
          <w:rFonts w:ascii="Arial" w:cs="Arial" w:eastAsia="Arial" w:hAnsi="Arial"/>
          <w:sz w:val="18"/>
          <w:szCs w:val="18"/>
          <w:color w:val="000000"/>
        </w:rPr>
        <w:t xml:space="preserve">be joined as a party to any proceedings against the Company or any other Person for the enforcement of any term or provision of </w:t>
      </w:r>
      <w:r>
        <w:rPr>
          <w:rFonts w:ascii="Arial" w:cs="Arial" w:eastAsia="Arial" w:hAnsi="Arial"/>
          <w:sz w:val="18"/>
          <w:szCs w:val="18"/>
          <w:color w:val="FF0000"/>
          <w:strike w:val="1"/>
        </w:rPr>
        <w:t>the</w:t>
      </w:r>
      <w:r>
        <w:rPr>
          <w:rFonts w:ascii="Arial" w:cs="Arial" w:eastAsia="Arial" w:hAnsi="Arial"/>
          <w:sz w:val="18"/>
          <w:szCs w:val="18"/>
          <w:color w:val="000000"/>
        </w:rPr>
        <w:t xml:space="preserve"> </w:t>
      </w:r>
      <w:r>
        <w:rPr>
          <w:rFonts w:ascii="Arial" w:cs="Arial" w:eastAsia="Arial" w:hAnsi="Arial"/>
          <w:sz w:val="18"/>
          <w:szCs w:val="18"/>
          <w:color w:val="FF0000"/>
          <w:strike w:val="1"/>
        </w:rPr>
        <w:t>Credit</w:t>
      </w:r>
      <w:r>
        <w:rPr>
          <w:rFonts w:ascii="Arial" w:cs="Arial" w:eastAsia="Arial" w:hAnsi="Arial"/>
          <w:sz w:val="18"/>
          <w:szCs w:val="18"/>
          <w:u w:val="single" w:color="auto"/>
          <w:color w:val="0000FF"/>
        </w:rPr>
        <w:t>this</w:t>
      </w:r>
      <w:r>
        <w:rPr>
          <w:rFonts w:ascii="Arial" w:cs="Arial" w:eastAsia="Arial" w:hAnsi="Arial"/>
          <w:sz w:val="18"/>
          <w:szCs w:val="18"/>
          <w:color w:val="FF0000"/>
        </w:rPr>
        <w:t xml:space="preserve"> </w:t>
      </w:r>
      <w:r>
        <w:rPr>
          <w:rFonts w:ascii="Arial" w:cs="Arial" w:eastAsia="Arial" w:hAnsi="Arial"/>
          <w:sz w:val="18"/>
          <w:szCs w:val="18"/>
          <w:color w:val="000000"/>
        </w:rPr>
        <w:t>Agreement, the other Loan Documents, the provisions of this Article IX or any other agreement or instrument.</w:t>
      </w:r>
    </w:p>
    <w:p>
      <w:pPr>
        <w:spacing w:after="0" w:line="128" w:lineRule="exact"/>
        <w:rPr>
          <w:sz w:val="20"/>
          <w:szCs w:val="20"/>
          <w:color w:val="auto"/>
        </w:rPr>
      </w:pPr>
    </w:p>
    <w:p>
      <w:pPr>
        <w:ind w:right="60" w:firstLine="648"/>
        <w:spacing w:after="0" w:line="217"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Company Obligations to Remain in Effect; Restoration</w:t>
      </w:r>
      <w:r>
        <w:rPr>
          <w:rFonts w:ascii="Arial" w:cs="Arial" w:eastAsia="Arial" w:hAnsi="Arial"/>
          <w:sz w:val="19"/>
          <w:szCs w:val="19"/>
          <w:color w:val="auto"/>
        </w:rPr>
        <w:t>. The Company’s obligations under this Article shall remain in full force and effect until the Commitments shall have terminated, and the principal of and interest on the Notes and other Company Guaranteed Obligations, and all other amounts payable by the Borrowers, any other Loan Party or other Subsidiary, under the Loan Documents or any other agreement or instrument evidencing or relating to any of the Company Guaranteed Obligations (other than amounts in respect of indemnification, expense reimbursement, tax gross-up or contingent obligations, in each case that are owing and with respect to which no claim has been made), shall have been paid in full. If at any time any payment of any of the Company Guaranteed Obligations is rescinded or must be otherwise restored or returned upon the insolvency, bankruptcy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-92-</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00"/>
          </w:cols>
          <w:pgMar w:left="320" w:top="1405" w:right="379" w:bottom="1440" w:gutter="0" w:footer="0" w:header="0"/>
        </w:sectPr>
      </w:pPr>
    </w:p>
    <w:bookmarkStart w:id="125" w:name="page126"/>
    <w:bookmarkEnd w:id="125"/>
    <w:p>
      <w:pPr>
        <w:ind w:left="1300" w:right="240" w:firstLine="1300"/>
        <w:spacing w:after="0" w:line="229" w:lineRule="auto"/>
        <w:tabs>
          <w:tab w:leader="none" w:pos="3058" w:val="left"/>
        </w:tabs>
        <w:numPr>
          <w:ilvl w:val="1"/>
          <w:numId w:val="94"/>
        </w:numPr>
        <w:rPr>
          <w:rFonts w:ascii="Arial" w:cs="Arial" w:eastAsia="Arial" w:hAnsi="Arial"/>
          <w:sz w:val="20"/>
          <w:szCs w:val="20"/>
          <w:color w:val="auto"/>
        </w:rPr>
      </w:pPr>
      <w:r>
        <w:rPr>
          <w:rFonts w:ascii="Arial" w:cs="Arial" w:eastAsia="Arial" w:hAnsi="Arial"/>
          <w:sz w:val="20"/>
          <w:szCs w:val="20"/>
          <w:color w:val="auto"/>
        </w:rPr>
        <w:t>the parties to each assignment shall execute and deliver to the Administrative Agent an Assignment and Assumption, together with a processing and recordation fee of $3,500; and</w:t>
      </w:r>
    </w:p>
    <w:p>
      <w:pPr>
        <w:spacing w:after="0" w:line="141" w:lineRule="exact"/>
        <w:rPr>
          <w:rFonts w:ascii="Arial" w:cs="Arial" w:eastAsia="Arial" w:hAnsi="Arial"/>
          <w:sz w:val="20"/>
          <w:szCs w:val="20"/>
          <w:color w:val="auto"/>
        </w:rPr>
      </w:pPr>
    </w:p>
    <w:p>
      <w:pPr>
        <w:ind w:left="1300" w:right="260" w:firstLine="1300"/>
        <w:spacing w:after="0" w:line="268" w:lineRule="auto"/>
        <w:tabs>
          <w:tab w:leader="none" w:pos="3069"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the assignee, if it shall not be a Lender, shall deliver to the Administrative Agent an Administrative Questionnaire in which the assignee designates one or more credit contacts at such assignee to whom all syndicate-level information (which may contain material non-public information about the Borrowers, the Loan Parties and their </w:t>
      </w:r>
      <w:r>
        <w:rPr>
          <w:rFonts w:ascii="Arial" w:cs="Arial" w:eastAsia="Arial" w:hAnsi="Arial"/>
          <w:sz w:val="16"/>
          <w:szCs w:val="16"/>
          <w:color w:val="FF0000"/>
          <w:strike w:val="1"/>
        </w:rPr>
        <w:t>related</w:t>
      </w:r>
      <w:r>
        <w:rPr>
          <w:rFonts w:ascii="Arial" w:cs="Arial" w:eastAsia="Arial" w:hAnsi="Arial"/>
          <w:sz w:val="16"/>
          <w:szCs w:val="16"/>
          <w:color w:val="auto"/>
        </w:rPr>
        <w:t xml:space="preserve"> </w:t>
      </w:r>
      <w:r>
        <w:rPr>
          <w:rFonts w:ascii="Arial" w:cs="Arial" w:eastAsia="Arial" w:hAnsi="Arial"/>
          <w:sz w:val="16"/>
          <w:szCs w:val="16"/>
          <w:color w:val="FF0000"/>
          <w:strike w:val="1"/>
        </w:rPr>
        <w:t>parties</w:t>
      </w:r>
      <w:r>
        <w:rPr>
          <w:rFonts w:ascii="Arial" w:cs="Arial" w:eastAsia="Arial" w:hAnsi="Arial"/>
          <w:sz w:val="16"/>
          <w:szCs w:val="16"/>
          <w:u w:val="single" w:color="auto"/>
          <w:color w:val="0000FF"/>
        </w:rPr>
        <w:t>Related Parties</w:t>
      </w:r>
      <w:r>
        <w:rPr>
          <w:rFonts w:ascii="Arial" w:cs="Arial" w:eastAsia="Arial" w:hAnsi="Arial"/>
          <w:sz w:val="16"/>
          <w:szCs w:val="16"/>
          <w:color w:val="FF0000"/>
        </w:rPr>
        <w:t xml:space="preserve"> </w:t>
      </w:r>
      <w:r>
        <w:rPr>
          <w:rFonts w:ascii="Arial" w:cs="Arial" w:eastAsia="Arial" w:hAnsi="Arial"/>
          <w:sz w:val="16"/>
          <w:szCs w:val="16"/>
          <w:color w:val="000000"/>
        </w:rPr>
        <w:t>or their respective securities) will be made available and who may receive such information in</w:t>
      </w:r>
      <w:r>
        <w:rPr>
          <w:rFonts w:ascii="Arial" w:cs="Arial" w:eastAsia="Arial" w:hAnsi="Arial"/>
          <w:sz w:val="16"/>
          <w:szCs w:val="16"/>
          <w:color w:val="FF0000"/>
        </w:rPr>
        <w:t xml:space="preserve"> </w:t>
      </w:r>
      <w:r>
        <w:rPr>
          <w:rFonts w:ascii="Arial" w:cs="Arial" w:eastAsia="Arial" w:hAnsi="Arial"/>
          <w:sz w:val="16"/>
          <w:szCs w:val="16"/>
          <w:color w:val="000000"/>
        </w:rPr>
        <w:t>accordance with the assignee’s compliance procedures and applicable laws, including Federal and state securities laws.</w:t>
      </w:r>
    </w:p>
    <w:p>
      <w:pPr>
        <w:spacing w:after="0" w:line="106" w:lineRule="exact"/>
        <w:rPr>
          <w:rFonts w:ascii="Arial" w:cs="Arial" w:eastAsia="Arial" w:hAnsi="Arial"/>
          <w:sz w:val="16"/>
          <w:szCs w:val="16"/>
          <w:color w:val="auto"/>
        </w:rPr>
      </w:pPr>
    </w:p>
    <w:p>
      <w:pPr>
        <w:ind w:left="660" w:firstLine="1292"/>
        <w:spacing w:after="0" w:line="227" w:lineRule="auto"/>
        <w:tabs>
          <w:tab w:leader="none" w:pos="2451"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10.03). Any assignment or transfer by a Lender of rights or obligations under this Agreement that does not comply with this Section 10.04 shall be treated for purposes of this Agreement as a sale by such Lender of a participation in such rights and obligations in accordance with paragraph (c) of this Section.</w:t>
      </w:r>
    </w:p>
    <w:p>
      <w:pPr>
        <w:spacing w:after="0" w:line="155" w:lineRule="exact"/>
        <w:rPr>
          <w:rFonts w:ascii="Arial" w:cs="Arial" w:eastAsia="Arial" w:hAnsi="Arial"/>
          <w:sz w:val="18"/>
          <w:szCs w:val="18"/>
          <w:color w:val="auto"/>
        </w:rPr>
      </w:pPr>
    </w:p>
    <w:p>
      <w:pPr>
        <w:ind w:left="660" w:firstLine="1292"/>
        <w:spacing w:after="0" w:line="216" w:lineRule="auto"/>
        <w:tabs>
          <w:tab w:leader="none" w:pos="2436"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141" w:lineRule="exact"/>
        <w:rPr>
          <w:rFonts w:ascii="Arial" w:cs="Arial" w:eastAsia="Arial" w:hAnsi="Arial"/>
          <w:sz w:val="19"/>
          <w:szCs w:val="19"/>
          <w:color w:val="auto"/>
        </w:rPr>
      </w:pPr>
    </w:p>
    <w:p>
      <w:pPr>
        <w:ind w:left="660" w:right="120" w:firstLine="1292"/>
        <w:spacing w:after="0" w:line="214" w:lineRule="auto"/>
        <w:tabs>
          <w:tab w:leader="none" w:pos="2385"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Section 2.05(c), Section 2.06(d), Section 2.06(e), Section 2.07(b), Section 2.18(d) or Section 10.03(c),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-99-</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180"/>
          </w:cols>
          <w:pgMar w:left="320" w:top="1405" w:right="399" w:bottom="1440" w:gutter="0" w:footer="0" w:header="0"/>
        </w:sectPr>
      </w:pPr>
    </w:p>
    <w:bookmarkStart w:id="126" w:name="page127"/>
    <w:bookmarkEnd w:id="126"/>
    <w:p>
      <w:pPr>
        <w:jc w:val="center"/>
        <w:ind w:right="540"/>
        <w:spacing w:after="0"/>
        <w:rPr>
          <w:sz w:val="20"/>
          <w:szCs w:val="20"/>
          <w:color w:val="auto"/>
        </w:rPr>
      </w:pPr>
      <w:r>
        <w:rPr>
          <w:rFonts w:ascii="Arial" w:cs="Arial" w:eastAsia="Arial" w:hAnsi="Arial"/>
          <w:sz w:val="20"/>
          <w:szCs w:val="20"/>
          <w:color w:val="FF0000"/>
        </w:rPr>
        <w:t>Article X</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1.01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1.02</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1.03</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1.04</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1.05</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1.06</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1.07</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1.08</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1.09</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1.10</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1.11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1.12</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FF0000"/>
        </w:rPr>
        <w:t>Section 1.13</w:t>
      </w:r>
    </w:p>
    <w:p>
      <w:pPr>
        <w:spacing w:after="0" w:line="175" w:lineRule="exact"/>
        <w:rPr>
          <w:sz w:val="20"/>
          <w:szCs w:val="20"/>
          <w:color w:val="auto"/>
        </w:rPr>
      </w:pPr>
    </w:p>
    <w:p>
      <w:pPr>
        <w:ind w:firstLine="648"/>
        <w:spacing w:after="0" w:line="215" w:lineRule="auto"/>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b w:val="1"/>
          <w:bCs w:val="1"/>
          <w:i w:val="1"/>
          <w:iCs w:val="1"/>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b w:val="1"/>
          <w:bCs w:val="1"/>
          <w:i w:val="1"/>
          <w:iCs w:val="1"/>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42" w:lineRule="exact"/>
        <w:rPr>
          <w:sz w:val="20"/>
          <w:szCs w:val="20"/>
          <w:color w:val="auto"/>
        </w:rPr>
      </w:pPr>
    </w:p>
    <w:p>
      <w:pPr>
        <w:ind w:firstLine="648"/>
        <w:spacing w:after="0" w:line="213"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Judgment Currency</w:t>
      </w:r>
      <w:r>
        <w:rPr>
          <w:rFonts w:ascii="Arial" w:cs="Arial" w:eastAsia="Arial" w:hAnsi="Arial"/>
          <w:sz w:val="19"/>
          <w:szCs w:val="19"/>
          <w:color w:val="auto"/>
        </w:rPr>
        <w:t>. If the Administrative Agent, on behalf of the Lenders, obtains a judgment or judgments against a Borrower in a Designated Foreign Currency, any Dollar denominated obligations of such Borrower in respect of any sum adjudged to be due to the Administrative Agent or the Lenders hereunder or under the Notes (the “</w:t>
      </w:r>
      <w:r>
        <w:rPr>
          <w:rFonts w:ascii="Arial" w:cs="Arial" w:eastAsia="Arial" w:hAnsi="Arial"/>
          <w:sz w:val="19"/>
          <w:szCs w:val="19"/>
          <w:b w:val="1"/>
          <w:bCs w:val="1"/>
          <w:i w:val="1"/>
          <w:iCs w:val="1"/>
          <w:color w:val="auto"/>
        </w:rPr>
        <w:t>Judgment Amount</w:t>
      </w:r>
      <w:r>
        <w:rPr>
          <w:rFonts w:ascii="Arial" w:cs="Arial" w:eastAsia="Arial" w:hAnsi="Arial"/>
          <w:sz w:val="19"/>
          <w:szCs w:val="19"/>
          <w:color w:val="auto"/>
        </w:rPr>
        <w:t>”) shall be discharged only to the extent that, on the Business Day following receipt by the Administrative Agent of the Judgment Amount in the Designated Foreign Currency, the Administrative Agent, in accordance with normal banking procedures, may purchase dollars with the Judgment Amount in such Designated Foreign Currency. If the amount of dollars so purchased is less than the amount of dollars that could have been purchased with the Judgment Amount on the date or dates the Judgment Amount (excluding the portion of the Judgment Amount which has accrued as a result of the failure of such Borrower to pay the sum originally due hereunder or under the Notes when it was originally due hereunder or under the Notes) was originally due and owing (the “</w:t>
      </w:r>
      <w:r>
        <w:rPr>
          <w:rFonts w:ascii="Arial" w:cs="Arial" w:eastAsia="Arial" w:hAnsi="Arial"/>
          <w:sz w:val="19"/>
          <w:szCs w:val="19"/>
          <w:b w:val="1"/>
          <w:bCs w:val="1"/>
          <w:i w:val="1"/>
          <w:iCs w:val="1"/>
          <w:color w:val="auto"/>
        </w:rPr>
        <w:t>Original Due Date</w:t>
      </w:r>
      <w:r>
        <w:rPr>
          <w:rFonts w:ascii="Arial" w:cs="Arial" w:eastAsia="Arial" w:hAnsi="Arial"/>
          <w:sz w:val="19"/>
          <w:szCs w:val="19"/>
          <w:color w:val="auto"/>
        </w:rPr>
        <w:t>”) to the Administrative Agent or the Lenders hereunder or under the Notes (the “</w:t>
      </w:r>
      <w:r>
        <w:rPr>
          <w:rFonts w:ascii="Arial" w:cs="Arial" w:eastAsia="Arial" w:hAnsi="Arial"/>
          <w:sz w:val="19"/>
          <w:szCs w:val="19"/>
          <w:b w:val="1"/>
          <w:bCs w:val="1"/>
          <w:i w:val="1"/>
          <w:iCs w:val="1"/>
          <w:color w:val="auto"/>
        </w:rPr>
        <w:t>Loss</w:t>
      </w:r>
      <w:r>
        <w:rPr>
          <w:rFonts w:ascii="Arial" w:cs="Arial" w:eastAsia="Arial" w:hAnsi="Arial"/>
          <w:sz w:val="19"/>
          <w:szCs w:val="19"/>
          <w:color w:val="auto"/>
        </w:rPr>
        <w:t>”), each applicable Borrower agrees as a separate obligation and notwithstanding any such judgment, to indemnify the Administrative Agent or such Lender, as the case may be, against the Loss, and if the amount of dollars so purchased exceeds the amount of dollars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-104-</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127" w:name="page128"/>
    <w:bookmarkEnd w:id="127"/>
    <w:p>
      <w:pPr>
        <w:ind w:right="260"/>
        <w:spacing w:after="0" w:line="229" w:lineRule="auto"/>
        <w:rPr>
          <w:sz w:val="20"/>
          <w:szCs w:val="20"/>
          <w:color w:val="auto"/>
        </w:rPr>
      </w:pPr>
      <w:r>
        <w:rPr>
          <w:rFonts w:ascii="Arial" w:cs="Arial" w:eastAsia="Arial" w:hAnsi="Arial"/>
          <w:sz w:val="20"/>
          <w:szCs w:val="20"/>
          <w:color w:val="auto"/>
        </w:rPr>
        <w:t>could have been purchased with the Judgment Amount on the Original Due Date, the Administrative Agent or such Lender agrees to remit such excess to the Borrowers.</w:t>
      </w:r>
    </w:p>
    <w:p>
      <w:pPr>
        <w:spacing w:after="0" w:line="142" w:lineRule="exact"/>
        <w:rPr>
          <w:sz w:val="20"/>
          <w:szCs w:val="20"/>
          <w:color w:val="auto"/>
        </w:rPr>
      </w:pPr>
    </w:p>
    <w:p>
      <w:pPr>
        <w:ind w:firstLine="648"/>
        <w:spacing w:after="0" w:line="210" w:lineRule="auto"/>
        <w:rPr>
          <w:sz w:val="20"/>
          <w:szCs w:val="20"/>
          <w:color w:val="auto"/>
        </w:rPr>
      </w:pPr>
      <w:r>
        <w:rPr>
          <w:rFonts w:ascii="Arial" w:cs="Arial" w:eastAsia="Arial" w:hAnsi="Arial"/>
          <w:sz w:val="20"/>
          <w:szCs w:val="20"/>
          <w:color w:val="auto"/>
        </w:rPr>
        <w:t xml:space="preserve">Section 1.16 </w:t>
      </w:r>
      <w:r>
        <w:rPr>
          <w:rFonts w:ascii="Arial" w:cs="Arial" w:eastAsia="Arial" w:hAnsi="Arial"/>
          <w:sz w:val="20"/>
          <w:szCs w:val="20"/>
          <w:u w:val="single" w:color="auto"/>
          <w:color w:val="auto"/>
        </w:rPr>
        <w:t>USA PATRIOT Act</w:t>
      </w:r>
      <w:r>
        <w:rPr>
          <w:rFonts w:ascii="Arial" w:cs="Arial" w:eastAsia="Arial" w:hAnsi="Arial"/>
          <w:sz w:val="20"/>
          <w:szCs w:val="20"/>
          <w:color w:val="auto"/>
        </w:rPr>
        <w:t xml:space="preserve">. Each Lender that is subject to the requirements of the USA </w:t>
      </w:r>
      <w:r>
        <w:rPr>
          <w:rFonts w:ascii="Arial" w:cs="Arial" w:eastAsia="Arial" w:hAnsi="Arial"/>
          <w:sz w:val="20"/>
          <w:szCs w:val="20"/>
          <w:color w:val="FF0000"/>
          <w:strike w:val="1"/>
        </w:rPr>
        <w:t>Patriot</w:t>
      </w:r>
      <w:r>
        <w:rPr>
          <w:rFonts w:ascii="Arial" w:cs="Arial" w:eastAsia="Arial" w:hAnsi="Arial"/>
          <w:sz w:val="20"/>
          <w:szCs w:val="20"/>
          <w:u w:val="single" w:color="auto"/>
          <w:color w:val="0000FF"/>
        </w:rPr>
        <w:t>PATRIOT</w:t>
      </w:r>
      <w:r>
        <w:rPr>
          <w:rFonts w:ascii="Arial" w:cs="Arial" w:eastAsia="Arial" w:hAnsi="Arial"/>
          <w:sz w:val="20"/>
          <w:szCs w:val="20"/>
          <w:color w:val="auto"/>
        </w:rPr>
        <w:t xml:space="preserve"> Act </w:t>
      </w:r>
      <w:r>
        <w:rPr>
          <w:rFonts w:ascii="Arial" w:cs="Arial" w:eastAsia="Arial" w:hAnsi="Arial"/>
          <w:sz w:val="20"/>
          <w:szCs w:val="20"/>
          <w:color w:val="FF0000"/>
          <w:strike w:val="1"/>
        </w:rPr>
        <w:t>(Title III of</w:t>
      </w:r>
      <w:r>
        <w:rPr>
          <w:rFonts w:ascii="Arial" w:cs="Arial" w:eastAsia="Arial" w:hAnsi="Arial"/>
          <w:sz w:val="20"/>
          <w:szCs w:val="20"/>
          <w:color w:val="auto"/>
        </w:rPr>
        <w:t xml:space="preserve"> </w:t>
      </w:r>
      <w:r>
        <w:rPr>
          <w:rFonts w:ascii="Arial" w:cs="Arial" w:eastAsia="Arial" w:hAnsi="Arial"/>
          <w:sz w:val="20"/>
          <w:szCs w:val="20"/>
          <w:color w:val="FF0000"/>
          <w:strike w:val="1"/>
        </w:rPr>
        <w:t>Pub. L. 10756 (signed into law October 26, 2001)) (the “</w:t>
      </w:r>
      <w:r>
        <w:rPr>
          <w:rFonts w:ascii="Arial" w:cs="Arial" w:eastAsia="Arial" w:hAnsi="Arial"/>
          <w:sz w:val="20"/>
          <w:szCs w:val="20"/>
          <w:b w:val="1"/>
          <w:bCs w:val="1"/>
          <w:i w:val="1"/>
          <w:iCs w:val="1"/>
          <w:color w:val="FF0000"/>
          <w:strike w:val="1"/>
        </w:rPr>
        <w:t>Act</w:t>
      </w:r>
      <w:r>
        <w:rPr>
          <w:rFonts w:ascii="Arial" w:cs="Arial" w:eastAsia="Arial" w:hAnsi="Arial"/>
          <w:sz w:val="20"/>
          <w:szCs w:val="20"/>
          <w:color w:val="FF0000"/>
          <w:strike w:val="1"/>
        </w:rPr>
        <w:t>”)</w:t>
      </w:r>
      <w:r>
        <w:rPr>
          <w:rFonts w:ascii="Arial" w:cs="Arial" w:eastAsia="Arial" w:hAnsi="Arial"/>
          <w:sz w:val="20"/>
          <w:szCs w:val="20"/>
          <w:color w:val="FF0000"/>
        </w:rPr>
        <w:t xml:space="preserve"> </w:t>
      </w:r>
      <w:r>
        <w:rPr>
          <w:rFonts w:ascii="Arial" w:cs="Arial" w:eastAsia="Arial" w:hAnsi="Arial"/>
          <w:sz w:val="20"/>
          <w:szCs w:val="20"/>
          <w:color w:val="000000"/>
        </w:rPr>
        <w:t>hereby notifies each Borrower that pursuant to the requirements of the</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USA</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PATRIOT</w:t>
      </w:r>
      <w:r>
        <w:rPr>
          <w:rFonts w:ascii="Arial" w:cs="Arial" w:eastAsia="Arial" w:hAnsi="Arial"/>
          <w:sz w:val="20"/>
          <w:szCs w:val="20"/>
          <w:color w:val="0000FF"/>
        </w:rPr>
        <w:t xml:space="preserve"> </w:t>
      </w:r>
      <w:r>
        <w:rPr>
          <w:rFonts w:ascii="Arial" w:cs="Arial" w:eastAsia="Arial" w:hAnsi="Arial"/>
          <w:sz w:val="20"/>
          <w:szCs w:val="20"/>
          <w:color w:val="000000"/>
        </w:rPr>
        <w:t>Act, it is required to obtain, verify and record information that identifies such Borrower, which information includes the name and</w:t>
      </w:r>
      <w:r>
        <w:rPr>
          <w:rFonts w:ascii="Arial" w:cs="Arial" w:eastAsia="Arial" w:hAnsi="Arial"/>
          <w:sz w:val="20"/>
          <w:szCs w:val="20"/>
          <w:color w:val="0000FF"/>
        </w:rPr>
        <w:t xml:space="preserve"> </w:t>
      </w:r>
      <w:r>
        <w:rPr>
          <w:rFonts w:ascii="Arial" w:cs="Arial" w:eastAsia="Arial" w:hAnsi="Arial"/>
          <w:sz w:val="20"/>
          <w:szCs w:val="20"/>
          <w:color w:val="000000"/>
        </w:rPr>
        <w:t xml:space="preserve">address of such Borrower and other information that will allow such Lender to identify such Borrower in accordance with the </w:t>
      </w:r>
      <w:r>
        <w:rPr>
          <w:rFonts w:ascii="Arial" w:cs="Arial" w:eastAsia="Arial" w:hAnsi="Arial"/>
          <w:sz w:val="20"/>
          <w:szCs w:val="20"/>
          <w:u w:val="single" w:color="auto"/>
          <w:color w:val="0000FF"/>
        </w:rPr>
        <w:t>USA PATRIOT</w:t>
      </w:r>
      <w:r>
        <w:rPr>
          <w:rFonts w:ascii="Arial" w:cs="Arial" w:eastAsia="Arial" w:hAnsi="Arial"/>
          <w:sz w:val="20"/>
          <w:szCs w:val="20"/>
          <w:color w:val="000000"/>
        </w:rPr>
        <w:t xml:space="preserve"> Act.</w:t>
      </w:r>
    </w:p>
    <w:p>
      <w:pPr>
        <w:spacing w:after="0" w:line="128" w:lineRule="exact"/>
        <w:rPr>
          <w:sz w:val="20"/>
          <w:szCs w:val="20"/>
          <w:color w:val="auto"/>
        </w:rPr>
      </w:pPr>
    </w:p>
    <w:p>
      <w:pPr>
        <w:ind w:right="20" w:firstLine="648"/>
        <w:spacing w:after="0" w:line="252"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the Joint Lead Arrangers, and the Lenders are arm’s-length commercial transactions between the Borrowers and their Affiliates, on the one hand, and the Administrative Agent, the Joint Lead Arrangers,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the Administrative Agent, each Joint Lead Arranger and each Lender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any Joint Lead Arranger nor any Lender has any obligation to such Borrower or any of its Affiliates with respect to the transactions contemplated hereby except those obligations expressly set forth herein and in the other Loan Documents; and (iii) the Administrative Agent, the Joint Lead Arrangers and the Lenders and their respective Affiliates may be engaged in a broad range of transactions that involve interests that differ from those of such Borrower and its Affiliates, and neither the Administrative Agent, any Joint Lead Arranger, nor any Lender has any obligation to disclose any of such interests to such Borrower or its Affiliates. To the fullest extent permitted by law, each Borrower hereby waives and releases any claims that it may have against the Administrative Agent, any Joint Lead Arranger or any Lender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331" w:lineRule="exact"/>
        <w:rPr>
          <w:sz w:val="20"/>
          <w:szCs w:val="20"/>
          <w:color w:val="auto"/>
        </w:rPr>
      </w:pPr>
    </w:p>
    <w:p>
      <w:pPr>
        <w:ind w:right="80" w:firstLine="648"/>
        <w:spacing w:after="0" w:line="231"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Several Liability of Certain Borrowers</w:t>
      </w:r>
      <w:r>
        <w:rPr>
          <w:rFonts w:ascii="Arial" w:cs="Arial" w:eastAsia="Arial" w:hAnsi="Arial"/>
          <w:sz w:val="18"/>
          <w:szCs w:val="18"/>
          <w:color w:val="auto"/>
        </w:rPr>
        <w:t xml:space="preserve">. Notwithstanding anything in this Agreement or any other Loan Document to the contrary, the Obligations of (x) each of Cooper UK and </w:t>
      </w:r>
      <w:r>
        <w:rPr>
          <w:rFonts w:ascii="Arial" w:cs="Arial" w:eastAsia="Arial" w:hAnsi="Arial"/>
          <w:sz w:val="18"/>
          <w:szCs w:val="18"/>
          <w:color w:val="FF0000"/>
          <w:strike w:val="1"/>
        </w:rPr>
        <w:t>Cooper Kft</w:t>
      </w:r>
      <w:r>
        <w:rPr>
          <w:rFonts w:ascii="Arial" w:cs="Arial" w:eastAsia="Arial" w:hAnsi="Arial"/>
          <w:sz w:val="18"/>
          <w:szCs w:val="18"/>
          <w:u w:val="single" w:color="auto"/>
          <w:color w:val="0000FF"/>
        </w:rPr>
        <w:t>CooperSurgical UK</w:t>
      </w:r>
      <w:r>
        <w:rPr>
          <w:rFonts w:ascii="Arial" w:cs="Arial" w:eastAsia="Arial" w:hAnsi="Arial"/>
          <w:sz w:val="18"/>
          <w:szCs w:val="18"/>
          <w:color w:val="auto"/>
        </w:rPr>
        <w:t xml:space="preserve"> hereunder and (y) each Additional Revolving Borrower hereunder, in each case, shall be several (and not joint) and each of Cooper UK and </w:t>
      </w:r>
      <w:r>
        <w:rPr>
          <w:rFonts w:ascii="Arial" w:cs="Arial" w:eastAsia="Arial" w:hAnsi="Arial"/>
          <w:sz w:val="18"/>
          <w:szCs w:val="18"/>
          <w:color w:val="FF0000"/>
          <w:strike w:val="1"/>
        </w:rPr>
        <w:t>Cooper Kft</w:t>
      </w:r>
      <w:r>
        <w:rPr>
          <w:rFonts w:ascii="Arial" w:cs="Arial" w:eastAsia="Arial" w:hAnsi="Arial"/>
          <w:sz w:val="18"/>
          <w:szCs w:val="18"/>
          <w:u w:val="single" w:color="auto"/>
          <w:color w:val="0000FF"/>
        </w:rPr>
        <w:t>CooperSurgical UK</w:t>
      </w:r>
      <w:r>
        <w:rPr>
          <w:rFonts w:ascii="Arial" w:cs="Arial" w:eastAsia="Arial" w:hAnsi="Arial"/>
          <w:sz w:val="18"/>
          <w:szCs w:val="18"/>
          <w:color w:val="auto"/>
        </w:rPr>
        <w:t xml:space="preserve"> and each Additional Revolving Borrower shall only be liable for any Loans and any other Obligations incurred directly by it and shall not be liable for any of the Obligations of the Company or any other Loan Party hereunder. The foregoing shall not in any way limit the guaranty obligations of the Company pursuant to Article IX hereof or the guaranty obligations of any Subsidiary Guarantor under the Subsidiary Guaranty.</w:t>
      </w:r>
    </w:p>
    <w:p>
      <w:pPr>
        <w:spacing w:after="0" w:line="141" w:lineRule="exact"/>
        <w:rPr>
          <w:sz w:val="20"/>
          <w:szCs w:val="20"/>
          <w:color w:val="auto"/>
        </w:rPr>
      </w:pPr>
    </w:p>
    <w:p>
      <w:pPr>
        <w:ind w:right="40" w:firstLine="648"/>
        <w:spacing w:after="0" w:line="210" w:lineRule="auto"/>
        <w:rPr>
          <w:sz w:val="20"/>
          <w:szCs w:val="20"/>
          <w:color w:val="auto"/>
        </w:rPr>
      </w:pPr>
      <w:r>
        <w:rPr>
          <w:rFonts w:ascii="Arial" w:cs="Arial" w:eastAsia="Arial" w:hAnsi="Arial"/>
          <w:sz w:val="20"/>
          <w:szCs w:val="20"/>
          <w:color w:val="auto"/>
        </w:rPr>
        <w:t xml:space="preserve">Section 1.19 </w:t>
      </w:r>
      <w:r>
        <w:rPr>
          <w:rFonts w:ascii="Arial" w:cs="Arial" w:eastAsia="Arial" w:hAnsi="Arial"/>
          <w:sz w:val="20"/>
          <w:szCs w:val="20"/>
          <w:u w:val="single" w:color="auto"/>
          <w:color w:val="auto"/>
        </w:rPr>
        <w:t>Acknowledgment and Consent to Bail-In of Affected Financial Institutions.</w:t>
      </w:r>
      <w:r>
        <w:rPr>
          <w:rFonts w:ascii="Arial" w:cs="Arial" w:eastAsia="Arial" w:hAnsi="Arial"/>
          <w:sz w:val="20"/>
          <w:szCs w:val="20"/>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5" w:lineRule="exact"/>
        <w:rPr>
          <w:sz w:val="20"/>
          <w:szCs w:val="20"/>
          <w:color w:val="auto"/>
        </w:rPr>
      </w:pPr>
    </w:p>
    <w:p>
      <w:pPr>
        <w:ind w:right="540" w:firstLine="1304"/>
        <w:spacing w:after="0" w:line="242" w:lineRule="auto"/>
        <w:tabs>
          <w:tab w:leader="none" w:pos="1934"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9" w:lineRule="exact"/>
        <w:rPr>
          <w:rFonts w:ascii="Arial" w:cs="Arial" w:eastAsia="Arial" w:hAnsi="Arial"/>
          <w:sz w:val="19"/>
          <w:szCs w:val="19"/>
          <w:color w:val="auto"/>
        </w:rPr>
      </w:pPr>
    </w:p>
    <w:p>
      <w:pPr>
        <w:ind w:left="1940" w:hanging="636"/>
        <w:spacing w:after="0"/>
        <w:tabs>
          <w:tab w:leader="none" w:pos="19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48" w:lineRule="exact"/>
        <w:rPr>
          <w:rFonts w:ascii="Arial" w:cs="Arial" w:eastAsia="Arial" w:hAnsi="Arial"/>
          <w:sz w:val="20"/>
          <w:szCs w:val="20"/>
          <w:color w:val="auto"/>
        </w:rPr>
      </w:pPr>
    </w:p>
    <w:p>
      <w:pPr>
        <w:ind w:left="2600" w:hanging="648"/>
        <w:spacing w:after="0"/>
        <w:tabs>
          <w:tab w:leader="none" w:pos="26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-105-</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128" w:name="page129"/>
    <w:bookmarkEnd w:id="128"/>
    <w:p>
      <w:pPr>
        <w:ind w:left="660" w:right="140" w:firstLine="1292"/>
        <w:spacing w:after="0" w:line="213" w:lineRule="auto"/>
        <w:tabs>
          <w:tab w:leader="none" w:pos="2603" w:val="left"/>
        </w:tabs>
        <w:numPr>
          <w:ilvl w:val="0"/>
          <w:numId w:val="97"/>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2" w:lineRule="exact"/>
        <w:rPr>
          <w:rFonts w:ascii="Arial" w:cs="Arial" w:eastAsia="Arial" w:hAnsi="Arial"/>
          <w:sz w:val="20"/>
          <w:szCs w:val="20"/>
          <w:color w:val="auto"/>
        </w:rPr>
      </w:pPr>
    </w:p>
    <w:p>
      <w:pPr>
        <w:ind w:left="660" w:firstLine="1292"/>
        <w:spacing w:after="0" w:line="229" w:lineRule="auto"/>
        <w:tabs>
          <w:tab w:leader="none" w:pos="2604"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28" w:lineRule="exact"/>
        <w:rPr>
          <w:sz w:val="20"/>
          <w:szCs w:val="20"/>
          <w:color w:val="auto"/>
        </w:rPr>
      </w:pPr>
    </w:p>
    <w:p>
      <w:pPr>
        <w:ind w:right="780" w:firstLine="648"/>
        <w:spacing w:after="0" w:line="229" w:lineRule="auto"/>
        <w:rPr>
          <w:sz w:val="20"/>
          <w:szCs w:val="20"/>
          <w:color w:val="auto"/>
        </w:rPr>
      </w:pPr>
      <w:r>
        <w:rPr>
          <w:rFonts w:ascii="Arial" w:cs="Arial" w:eastAsia="Arial" w:hAnsi="Arial"/>
          <w:sz w:val="20"/>
          <w:szCs w:val="20"/>
          <w:color w:val="auto"/>
        </w:rPr>
        <w:t>The provisions of this Section 10.19 are intended to comply with, and shall be interpreted in light of, Article 55 of Directive 2014/59/EU of the European Parliament and of the Council of the European Union.</w:t>
      </w:r>
    </w:p>
    <w:p>
      <w:pPr>
        <w:spacing w:after="0" w:line="142" w:lineRule="exact"/>
        <w:rPr>
          <w:sz w:val="20"/>
          <w:szCs w:val="20"/>
          <w:color w:val="auto"/>
        </w:rPr>
      </w:pPr>
    </w:p>
    <w:p>
      <w:pPr>
        <w:ind w:right="640" w:firstLine="648"/>
        <w:spacing w:after="0" w:line="229" w:lineRule="auto"/>
        <w:rPr>
          <w:sz w:val="20"/>
          <w:szCs w:val="20"/>
          <w:color w:val="auto"/>
        </w:rPr>
      </w:pPr>
      <w:r>
        <w:rPr>
          <w:rFonts w:ascii="Arial" w:cs="Arial" w:eastAsia="Arial" w:hAnsi="Arial"/>
          <w:sz w:val="20"/>
          <w:szCs w:val="20"/>
          <w:color w:val="auto"/>
        </w:rPr>
        <w:t xml:space="preserve">Section 1.20 </w:t>
      </w:r>
      <w:r>
        <w:rPr>
          <w:rFonts w:ascii="Arial" w:cs="Arial" w:eastAsia="Arial" w:hAnsi="Arial"/>
          <w:sz w:val="20"/>
          <w:szCs w:val="20"/>
          <w:u w:val="single" w:color="auto"/>
          <w:color w:val="auto"/>
        </w:rPr>
        <w:t>Acknowledgement Regarding Any Supported QFCs.</w:t>
      </w:r>
      <w:r>
        <w:rPr>
          <w:rFonts w:ascii="Arial" w:cs="Arial" w:eastAsia="Arial" w:hAnsi="Arial"/>
          <w:sz w:val="20"/>
          <w:szCs w:val="20"/>
          <w:color w:val="auto"/>
        </w:rPr>
        <w:t xml:space="preserve"> To the extent that the Loan Documents provide support, through a guarantee or otherwise, for Hedge Agreements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-106-</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40"/>
          </w:cols>
          <w:pgMar w:left="320" w:top="1405" w:right="339" w:bottom="1440" w:gutter="0" w:footer="0" w:header="0"/>
        </w:sectPr>
      </w:pPr>
    </w:p>
    <w:bookmarkStart w:id="129" w:name="page130"/>
    <w:bookmarkEnd w:id="129"/>
    <w:p>
      <w:pPr>
        <w:spacing w:after="0" w:line="206" w:lineRule="auto"/>
        <w:rPr>
          <w:sz w:val="20"/>
          <w:szCs w:val="20"/>
          <w:color w:val="auto"/>
        </w:rPr>
      </w:pPr>
      <w:r>
        <w:rPr>
          <w:rFonts w:ascii="Arial" w:cs="Arial" w:eastAsia="Arial" w:hAnsi="Arial"/>
          <w:sz w:val="20"/>
          <w:szCs w:val="20"/>
          <w:color w:val="auto"/>
        </w:rPr>
        <w:t xml:space="preserve">contemplated hereby (including without limitation Assignment and Assumptions, amendments or other Borrowing Requests, guaranties, waivers and consents) shall be deemed to include </w:t>
      </w:r>
      <w:r>
        <w:rPr>
          <w:rFonts w:ascii="Arial" w:cs="Arial" w:eastAsia="Arial" w:hAnsi="Arial"/>
          <w:sz w:val="20"/>
          <w:szCs w:val="20"/>
          <w:color w:val="FF0000"/>
          <w:strike w:val="1"/>
        </w:rPr>
        <w:t>electronic</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signatures</w:t>
      </w:r>
      <w:r>
        <w:rPr>
          <w:rFonts w:ascii="Arial" w:cs="Arial" w:eastAsia="Arial" w:hAnsi="Arial"/>
          <w:sz w:val="20"/>
          <w:szCs w:val="20"/>
          <w:u w:val="single" w:color="auto"/>
          <w:color w:val="0000FF"/>
        </w:rPr>
        <w:t>Electronic Signatures</w:t>
      </w:r>
      <w:r>
        <w:rPr>
          <w:rFonts w:ascii="Arial" w:cs="Arial" w:eastAsia="Arial" w:hAnsi="Arial"/>
          <w:sz w:val="20"/>
          <w:szCs w:val="20"/>
          <w:color w:val="auto"/>
        </w:rPr>
        <w:t>,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[Signature pages </w:t>
      </w:r>
      <w:r>
        <w:rPr>
          <w:rFonts w:ascii="Arial" w:cs="Arial" w:eastAsia="Arial" w:hAnsi="Arial"/>
          <w:sz w:val="20"/>
          <w:szCs w:val="20"/>
          <w:color w:val="FF0000"/>
          <w:strike w:val="1"/>
        </w:rPr>
        <w:t>follow</w:t>
      </w:r>
      <w:r>
        <w:rPr>
          <w:rFonts w:ascii="Arial" w:cs="Arial" w:eastAsia="Arial" w:hAnsi="Arial"/>
          <w:sz w:val="20"/>
          <w:szCs w:val="20"/>
          <w:u w:val="single" w:color="auto"/>
          <w:color w:val="0000FF"/>
        </w:rPr>
        <w:t>intentionally omitted.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80"/>
        <w:spacing w:after="0"/>
        <w:rPr>
          <w:sz w:val="20"/>
          <w:szCs w:val="20"/>
          <w:color w:val="auto"/>
        </w:rPr>
      </w:pPr>
      <w:r>
        <w:rPr>
          <w:rFonts w:ascii="Arial" w:cs="Arial" w:eastAsia="Arial" w:hAnsi="Arial"/>
          <w:sz w:val="16"/>
          <w:szCs w:val="16"/>
          <w:color w:val="FF0000"/>
          <w:strike w:val="1"/>
        </w:rPr>
        <w:t>NAI-1523373604v1</w:t>
      </w:r>
      <w:r>
        <w:rPr>
          <w:rFonts w:ascii="Arial" w:cs="Arial" w:eastAsia="Arial" w:hAnsi="Arial"/>
          <w:sz w:val="16"/>
          <w:szCs w:val="16"/>
          <w:color w:val="FF0000"/>
        </w:rPr>
        <w:t xml:space="preserve"> </w:t>
      </w:r>
      <w:r>
        <w:rPr>
          <w:rFonts w:ascii="Arial" w:cs="Arial" w:eastAsia="Arial" w:hAnsi="Arial"/>
          <w:sz w:val="19"/>
          <w:szCs w:val="19"/>
          <w:color w:val="000000"/>
        </w:rPr>
        <w:t>-107-</w:t>
      </w:r>
    </w:p>
    <w:p>
      <w:pPr>
        <w:spacing w:after="0"/>
        <w:rPr>
          <w:sz w:val="20"/>
          <w:szCs w:val="20"/>
          <w:color w:val="auto"/>
        </w:rPr>
      </w:pPr>
      <w:r>
        <w:rPr>
          <w:rFonts w:ascii="Arial" w:cs="Arial" w:eastAsia="Arial" w:hAnsi="Arial"/>
          <w:sz w:val="16"/>
          <w:szCs w:val="16"/>
          <w:u w:val="single" w:color="auto"/>
          <w:color w:val="0000FF"/>
        </w:rPr>
        <w:t>NAI-1523373604v6</w:t>
      </w:r>
    </w:p>
    <w:p>
      <w:pPr>
        <w:sectPr>
          <w:pgSz w:w="11900" w:h="16838" w:orient="portrait"/>
          <w:cols w:equalWidth="0" w:num="1">
            <w:col w:w="11220"/>
          </w:cols>
          <w:pgMar w:left="320" w:top="1405" w:right="35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March 4, 2022</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774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Albert G. White III</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1. 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March 4, 2022</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5114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Brian G. Andrews</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Executive Vice President, Chief Financial Officer and</w:t>
      </w:r>
    </w:p>
    <w:p>
      <w:pPr>
        <w:jc w:val="center"/>
        <w:ind w:right="-299"/>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364"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Albert G. White III,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January 31, 2022,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March 4,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Albert G. White III</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Albert G. White III</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Brian G. Andrews,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January 31, 2022,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March 4,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Andrews</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Brian G. Andrews</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1."/>
      <w:numFmt w:val="upperLetter"/>
      <w:start w:val="1"/>
    </w:lvl>
  </w:abstractNum>
  <w:abstractNum w:abstractNumId="32">
    <w:nsid w:val="1F48EAA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33">
    <w:nsid w:val="138182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34">
    <w:nsid w:val="5DB70AE5"/>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35">
    <w:nsid w:val="100F8FCA"/>
    <w:multiLevelType w:val="hybridMultilevel"/>
    <w:lvl w:ilvl="0">
      <w:lvlJc w:val="left"/>
      <w:lvlText w:val="(%1)"/>
      <w:numFmt w:val="lowerLetter"/>
      <w:start w:val="5"/>
    </w:lvl>
    <w:lvl w:ilvl="1">
      <w:lvlJc w:val="left"/>
      <w:lvlText w:val="(%2)"/>
      <w:numFmt w:val="lowerLetter"/>
      <w:start w:val="7"/>
    </w:lvl>
  </w:abstractNum>
  <w:abstractNum w:abstractNumId="36">
    <w:nsid w:val="6590700B"/>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3"/>
    </w:lvl>
  </w:abstractNum>
  <w:abstractNum w:abstractNumId="37">
    <w:nsid w:val="15014ACB"/>
    <w:multiLevelType w:val="hybridMultilevel"/>
    <w:lvl w:ilvl="0">
      <w:lvlJc w:val="left"/>
      <w:lvlText w:val="%1"/>
      <w:numFmt w:val="lowerLetter"/>
      <w:start w:val="1"/>
    </w:lvl>
    <w:lvl w:ilvl="1">
      <w:lvlJc w:val="left"/>
      <w:lvlText w:val="(%2)"/>
      <w:numFmt w:val="lowerLetter"/>
      <w:start w:val="5"/>
    </w:lvl>
  </w:abstractNum>
  <w:abstractNum w:abstractNumId="38">
    <w:nsid w:val="5F5E7FD0"/>
    <w:multiLevelType w:val="hybridMultilevel"/>
    <w:lvl w:ilvl="0">
      <w:lvlJc w:val="left"/>
      <w:lvlText w:val="(%1)"/>
      <w:numFmt w:val="lowerLetter"/>
      <w:start w:val="6"/>
    </w:lvl>
    <w:lvl w:ilvl="1">
      <w:lvlJc w:val="left"/>
      <w:lvlText w:val="%2"/>
      <w:numFmt w:val="lowerLetter"/>
      <w:start w:val="1"/>
    </w:lvl>
  </w:abstractNum>
  <w:abstractNum w:abstractNumId="39">
    <w:nsid w:val="98A3148"/>
    <w:multiLevelType w:val="hybridMultilevel"/>
    <w:lvl w:ilvl="0">
      <w:lvlJc w:val="left"/>
      <w:lvlText w:val="%1"/>
      <w:numFmt w:val="lowerLetter"/>
      <w:start w:val="1"/>
    </w:lvl>
    <w:lvl w:ilvl="1">
      <w:lvlJc w:val="left"/>
      <w:lvlText w:val="(%2)"/>
      <w:numFmt w:val="lowerLetter"/>
      <w:start w:val="1"/>
    </w:lvl>
  </w:abstractNum>
  <w:abstractNum w:abstractNumId="40">
    <w:nsid w:val="799D0247"/>
    <w:multiLevelType w:val="hybridMultilevel"/>
    <w:lvl w:ilvl="0">
      <w:lvlJc w:val="left"/>
      <w:lvlText w:val="(%1)"/>
      <w:numFmt w:val="lowerLetter"/>
      <w:start w:val="2"/>
    </w:lvl>
    <w:lvl w:ilvl="1">
      <w:lvlJc w:val="left"/>
      <w:lvlText w:val="%2"/>
      <w:numFmt w:val="lowerLetter"/>
      <w:start w:val="1"/>
    </w:lvl>
  </w:abstractNum>
  <w:abstractNum w:abstractNumId="41">
    <w:nsid w:val="6B94764"/>
    <w:multiLevelType w:val="hybridMultilevel"/>
    <w:lvl w:ilvl="0">
      <w:lvlJc w:val="left"/>
      <w:lvlText w:val="(%1)"/>
      <w:numFmt w:val="lowerLetter"/>
      <w:start w:val="3"/>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lowerLetter"/>
      <w:start w:val="2"/>
    </w:lvl>
  </w:abstractNum>
  <w:abstractNum w:abstractNumId="44">
    <w:nsid w:val="1EBA5D23"/>
    <w:multiLevelType w:val="hybridMultilevel"/>
    <w:lvl w:ilvl="0">
      <w:lvlJc w:val="left"/>
      <w:lvlText w:val="(%1)"/>
      <w:numFmt w:val="lowerLetter"/>
      <w:start w:val="3"/>
    </w:lvl>
  </w:abstractNum>
  <w:abstractNum w:abstractNumId="45">
    <w:nsid w:val="661E3F1E"/>
    <w:multiLevelType w:val="hybridMultilevel"/>
    <w:lvl w:ilvl="0">
      <w:lvlJc w:val="left"/>
      <w:lvlText w:val="(%1)"/>
      <w:numFmt w:val="lowerLetter"/>
      <w:start w:val="24"/>
    </w:lvl>
  </w:abstractNum>
  <w:abstractNum w:abstractNumId="46">
    <w:nsid w:val="5DC79EA8"/>
    <w:multiLevelType w:val="hybridMultilevel"/>
    <w:lvl w:ilvl="0">
      <w:lvlJc w:val="left"/>
      <w:lvlText w:val="(%1)"/>
      <w:numFmt w:val="lowerLetter"/>
      <w:start w:val="1"/>
    </w:lvl>
  </w:abstractNum>
  <w:abstractNum w:abstractNumId="47">
    <w:nsid w:val="540A471C"/>
    <w:multiLevelType w:val="hybridMultilevel"/>
    <w:lvl w:ilvl="0">
      <w:lvlJc w:val="left"/>
      <w:lvlText w:val="(%1)"/>
      <w:numFmt w:val="upperLetter"/>
      <w:start w:val="3"/>
    </w:lvl>
  </w:abstractNum>
  <w:abstractNum w:abstractNumId="48">
    <w:nsid w:val="7BD3EE7B"/>
    <w:multiLevelType w:val="hybridMultilevel"/>
    <w:lvl w:ilvl="0">
      <w:lvlJc w:val="left"/>
      <w:lvlText w:val="(%1)"/>
      <w:numFmt w:val="lowerRoman"/>
      <w:start w:val="4"/>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lowerRoman"/>
      <w:start w:val="7"/>
    </w:lvl>
  </w:abstractNum>
  <w:abstractNum w:abstractNumId="51">
    <w:nsid w:val="BF72B14"/>
    <w:multiLevelType w:val="hybridMultilevel"/>
    <w:lvl w:ilvl="0">
      <w:lvlJc w:val="left"/>
      <w:lvlText w:val="(%1)"/>
      <w:numFmt w:val="lowerRoman"/>
      <w:start w:val="1"/>
    </w:lvl>
  </w:abstractNum>
  <w:abstractNum w:abstractNumId="52">
    <w:nsid w:val="11447B73"/>
    <w:multiLevelType w:val="hybridMultilevel"/>
    <w:lvl w:ilvl="0">
      <w:lvlJc w:val="left"/>
      <w:lvlText w:val="(%1)"/>
      <w:numFmt w:val="lowerRoman"/>
      <w:start w:val="2"/>
    </w:lvl>
  </w:abstractNum>
  <w:abstractNum w:abstractNumId="53">
    <w:nsid w:val="42963E5A"/>
    <w:multiLevelType w:val="hybridMultilevel"/>
    <w:lvl w:ilvl="0">
      <w:lvlJc w:val="left"/>
      <w:lvlText w:val="(%1)"/>
      <w:numFmt w:val="lowerRoman"/>
      <w:start w:val="1"/>
    </w:lvl>
  </w:abstractNum>
  <w:abstractNum w:abstractNumId="54">
    <w:nsid w:val="A0382C5"/>
    <w:multiLevelType w:val="hybridMultilevel"/>
    <w:lvl w:ilvl="0">
      <w:lvlJc w:val="left"/>
      <w:lvlText w:val="(%1)"/>
      <w:numFmt w:val="lowerRoman"/>
      <w:start w:val="5"/>
    </w:lvl>
  </w:abstractNum>
  <w:abstractNum w:abstractNumId="55">
    <w:nsid w:val="8F2B15E"/>
    <w:multiLevelType w:val="hybridMultilevel"/>
    <w:lvl w:ilvl="0">
      <w:lvlJc w:val="left"/>
      <w:lvlText w:val="(%1)"/>
      <w:numFmt w:val="lowerLetter"/>
      <w:start w:val="4"/>
    </w:lvl>
  </w:abstractNum>
  <w:abstractNum w:abstractNumId="56">
    <w:nsid w:val="1A32234B"/>
    <w:multiLevelType w:val="hybridMultilevel"/>
    <w:lvl w:ilvl="0">
      <w:lvlJc w:val="left"/>
      <w:lvlText w:val="(%1)"/>
      <w:numFmt w:val="lowerRoman"/>
      <w:start w:val="1"/>
    </w:lvl>
  </w:abstractNum>
  <w:abstractNum w:abstractNumId="57">
    <w:nsid w:val="3B0FD379"/>
    <w:multiLevelType w:val="hybridMultilevel"/>
    <w:lvl w:ilvl="0">
      <w:lvlJc w:val="left"/>
      <w:lvlText w:val="(%1)"/>
      <w:numFmt w:val="lowerLetter"/>
      <w:start w:val="2"/>
    </w:lvl>
  </w:abstractNum>
  <w:abstractNum w:abstractNumId="58">
    <w:nsid w:val="68EB2F63"/>
    <w:multiLevelType w:val="hybridMultilevel"/>
    <w:lvl w:ilvl="0">
      <w:lvlJc w:val="left"/>
      <w:lvlText w:val="(%1)"/>
      <w:numFmt w:val="lowerRoman"/>
      <w:start w:val="2"/>
    </w:lvl>
    <w:lvl w:ilvl="1">
      <w:lvlJc w:val="left"/>
      <w:lvlText w:val="(%2)"/>
      <w:numFmt w:val="upperLetter"/>
      <w:start w:val="1"/>
    </w:lvl>
  </w:abstractNum>
  <w:abstractNum w:abstractNumId="59">
    <w:nsid w:val="4962813B"/>
    <w:multiLevelType w:val="hybridMultilevel"/>
    <w:lvl w:ilvl="0">
      <w:lvlJc w:val="left"/>
      <w:lvlText w:val="(%1)"/>
      <w:numFmt w:val="upperLetter"/>
      <w:start w:val="2"/>
    </w:lvl>
  </w:abstractNum>
  <w:abstractNum w:abstractNumId="60">
    <w:nsid w:val="60B6DF70"/>
    <w:multiLevelType w:val="hybridMultilevel"/>
    <w:lvl w:ilvl="0">
      <w:lvlJc w:val="left"/>
      <w:lvlText w:val="(%1)"/>
      <w:numFmt w:val="lowerLetter"/>
      <w:start w:val="7"/>
    </w:lvl>
  </w:abstractNum>
  <w:abstractNum w:abstractNumId="61">
    <w:nsid w:val="6A5EE64"/>
    <w:multiLevelType w:val="hybridMultilevel"/>
    <w:lvl w:ilvl="0">
      <w:lvlJc w:val="left"/>
      <w:lvlText w:val="(%1)"/>
      <w:numFmt w:val="lowerLetter"/>
      <w:start w:val="6"/>
    </w:lvl>
  </w:abstractNum>
  <w:abstractNum w:abstractNumId="62">
    <w:nsid w:val="14330624"/>
    <w:multiLevelType w:val="hybridMultilevel"/>
    <w:lvl w:ilvl="0">
      <w:lvlJc w:val="left"/>
      <w:lvlText w:val="(%1)"/>
      <w:numFmt w:val="lowerLetter"/>
      <w:start w:val="8"/>
    </w:lvl>
  </w:abstractNum>
  <w:abstractNum w:abstractNumId="63">
    <w:nsid w:val="7FFFCA11"/>
    <w:multiLevelType w:val="hybridMultilevel"/>
    <w:lvl w:ilvl="0">
      <w:lvlJc w:val="left"/>
      <w:lvlText w:val="%1"/>
      <w:numFmt w:val="lowerLetter"/>
      <w:start w:val="1"/>
    </w:lvl>
    <w:lvl w:ilvl="1">
      <w:lvlJc w:val="left"/>
      <w:lvlText w:val="(%2)"/>
      <w:numFmt w:val="lowerLetter"/>
      <w:start w:val="1"/>
    </w:lvl>
  </w:abstractNum>
  <w:abstractNum w:abstractNumId="64">
    <w:nsid w:val="1A27709E"/>
    <w:multiLevelType w:val="hybridMultilevel"/>
    <w:lvl w:ilvl="0">
      <w:lvlJc w:val="left"/>
      <w:lvlText w:val="(%1)"/>
      <w:numFmt w:val="lowerLetter"/>
      <w:start w:val="61"/>
    </w:lvl>
    <w:lvl w:ilvl="1">
      <w:lvlJc w:val="left"/>
      <w:lvlText w:val="(%2)"/>
      <w:numFmt w:val="lowerLetter"/>
      <w:start w:val="2"/>
    </w:lvl>
  </w:abstractNum>
  <w:abstractNum w:abstractNumId="65">
    <w:nsid w:val="71EA1109"/>
    <w:multiLevelType w:val="hybridMultilevel"/>
    <w:lvl w:ilvl="0">
      <w:lvlJc w:val="left"/>
      <w:lvlText w:val="(%1)"/>
      <w:numFmt w:val="lowerLetter"/>
      <w:start w:val="3"/>
    </w:lvl>
  </w:abstractNum>
  <w:abstractNum w:abstractNumId="66">
    <w:nsid w:val="100F59DC"/>
    <w:multiLevelType w:val="hybridMultilevel"/>
    <w:lvl w:ilvl="0">
      <w:lvlJc w:val="left"/>
      <w:lvlText w:val="(%1)"/>
      <w:numFmt w:val="lowerLetter"/>
      <w:start w:val="4"/>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1)"/>
      <w:numFmt w:val="lowerLetter"/>
      <w:start w:val="1"/>
    </w:lvl>
    <w:lvl w:ilvl="1">
      <w:lvlJc w:val="left"/>
      <w:lvlText w:val="(%2)"/>
      <w:numFmt w:val="lowerLetter"/>
      <w:start w:val="24"/>
    </w:lvl>
  </w:abstractNum>
  <w:abstractNum w:abstractNumId="69">
    <w:nsid w:val="6F6DD9AC"/>
    <w:multiLevelType w:val="hybridMultilevel"/>
    <w:lvl w:ilvl="0">
      <w:lvlJc w:val="left"/>
      <w:lvlText w:val="(%1)"/>
      <w:numFmt w:val="decimal"/>
      <w:start w:val="1"/>
    </w:lvl>
    <w:lvl w:ilvl="1">
      <w:lvlJc w:val="left"/>
      <w:lvlText w:val="(%2)"/>
      <w:numFmt w:val="lowerLetter"/>
      <w:start w:val="1"/>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1)"/>
      <w:numFmt w:val="decimal"/>
      <w:start w:val="2"/>
    </w:lvl>
  </w:abstractNum>
  <w:abstractNum w:abstractNumId="72">
    <w:nsid w:val="76272110"/>
    <w:multiLevelType w:val="hybridMultilevel"/>
    <w:lvl w:ilvl="0">
      <w:lvlJc w:val="left"/>
      <w:lvlText w:val="%1"/>
      <w:numFmt w:val="decimal"/>
      <w:start w:val="1"/>
    </w:lvl>
    <w:lvl w:ilvl="1">
      <w:lvlJc w:val="left"/>
      <w:lvlText w:val="(%2)"/>
      <w:numFmt w:val="decimal"/>
      <w:start w:val="1"/>
    </w:lvl>
  </w:abstractNum>
  <w:abstractNum w:abstractNumId="73">
    <w:nsid w:val="4C04A8AF"/>
    <w:multiLevelType w:val="hybridMultilevel"/>
    <w:lvl w:ilvl="0">
      <w:lvlJc w:val="left"/>
      <w:lvlText w:val="(%1)"/>
      <w:numFmt w:val="decimal"/>
      <w:start w:val="2"/>
    </w:lvl>
    <w:lvl w:ilvl="1">
      <w:lvlJc w:val="left"/>
      <w:lvlText w:val="(%2)"/>
      <w:numFmt w:val="decimal"/>
      <w:start w:val="3"/>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decimal"/>
      <w:start w:val="2"/>
    </w:lvl>
  </w:abstractNum>
  <w:abstractNum w:abstractNumId="76">
    <w:nsid w:val="3222E7CD"/>
    <w:multiLevelType w:val="hybridMultilevel"/>
    <w:lvl w:ilvl="0">
      <w:lvlJc w:val="left"/>
      <w:lvlText w:val="1"/>
      <w:numFmt w:val="bullet"/>
      <w:start w:val="1"/>
    </w:lvl>
  </w:abstractNum>
  <w:abstractNum w:abstractNumId="77">
    <w:nsid w:val="74DE0EE3"/>
    <w:multiLevelType w:val="hybridMultilevel"/>
    <w:lvl w:ilvl="0">
      <w:lvlJc w:val="left"/>
      <w:lvlText w:val="(%1)"/>
      <w:numFmt w:val="lowerLetter"/>
      <w:start w:val="2"/>
    </w:lvl>
  </w:abstractNum>
  <w:abstractNum w:abstractNumId="78">
    <w:nsid w:val="68EBC550"/>
    <w:multiLevelType w:val="hybridMultilevel"/>
    <w:lvl w:ilvl="0">
      <w:lvlJc w:val="left"/>
      <w:lvlText w:val="(%1)"/>
      <w:numFmt w:val="lowerLetter"/>
      <w:start w:val="3"/>
    </w:lvl>
  </w:abstractNum>
  <w:abstractNum w:abstractNumId="79">
    <w:nsid w:val="2DF6D648"/>
    <w:multiLevelType w:val="hybridMultilevel"/>
    <w:lvl w:ilvl="0">
      <w:lvlJc w:val="left"/>
      <w:lvlText w:val="(%1)"/>
      <w:numFmt w:val="lowerLetter"/>
      <w:start w:val="5"/>
    </w:lvl>
  </w:abstractNum>
  <w:abstractNum w:abstractNumId="80">
    <w:nsid w:val="46B7D447"/>
    <w:multiLevelType w:val="hybridMultilevel"/>
    <w:lvl w:ilvl="0">
      <w:lvlJc w:val="left"/>
      <w:lvlText w:val="(%1)"/>
      <w:numFmt w:val="lowerLetter"/>
      <w:start w:val="6"/>
    </w:lvl>
  </w:abstractNum>
  <w:abstractNum w:abstractNumId="81">
    <w:nsid w:val="4A2AC315"/>
    <w:multiLevelType w:val="hybridMultilevel"/>
    <w:lvl w:ilvl="0">
      <w:lvlJc w:val="left"/>
      <w:lvlText w:val="(%1)"/>
      <w:numFmt w:val="lowerLetter"/>
      <w:start w:val="1"/>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Letter"/>
      <w:start w:val="5"/>
    </w:lvl>
  </w:abstractNum>
  <w:abstractNum w:abstractNumId="84">
    <w:nsid w:val="CC1016F"/>
    <w:multiLevelType w:val="hybridMultilevel"/>
    <w:lvl w:ilvl="0">
      <w:lvlJc w:val="left"/>
      <w:lvlText w:val="(%1)"/>
      <w:numFmt w:val="lowerLetter"/>
      <w:start w:val="1"/>
    </w:lvl>
  </w:abstractNum>
  <w:abstractNum w:abstractNumId="85">
    <w:nsid w:val="43F18422"/>
    <w:multiLevelType w:val="hybridMultilevel"/>
    <w:lvl w:ilvl="0">
      <w:lvlJc w:val="left"/>
      <w:lvlText w:val="(%1)"/>
      <w:numFmt w:val="lowerLetter"/>
      <w:start w:val="4"/>
    </w:lvl>
  </w:abstractNum>
  <w:abstractNum w:abstractNumId="86">
    <w:nsid w:val="60EF0119"/>
    <w:multiLevelType w:val="hybridMultilevel"/>
    <w:lvl w:ilvl="0">
      <w:lvlJc w:val="left"/>
      <w:lvlText w:val="(%1)"/>
      <w:numFmt w:val="lowerLetter"/>
      <w:start w:val="1"/>
    </w:lvl>
    <w:lvl w:ilvl="1">
      <w:lvlJc w:val="left"/>
      <w:lvlText w:val="(%2)"/>
      <w:numFmt w:val="lowerRoman"/>
      <w:start w:val="1"/>
    </w:lvl>
  </w:abstractNum>
  <w:abstractNum w:abstractNumId="87">
    <w:nsid w:val="26F324BA"/>
    <w:multiLevelType w:val="hybridMultilevel"/>
    <w:lvl w:ilvl="0">
      <w:lvlJc w:val="left"/>
      <w:lvlText w:val="(%1)"/>
      <w:numFmt w:val="lowerLetter"/>
      <w:start w:val="3"/>
    </w:lvl>
  </w:abstractNum>
  <w:abstractNum w:abstractNumId="88">
    <w:nsid w:val="7F01579B"/>
    <w:multiLevelType w:val="hybridMultilevel"/>
    <w:lvl w:ilvl="0">
      <w:lvlJc w:val="left"/>
      <w:lvlText w:val="(%1)"/>
      <w:numFmt w:val="lowerRoman"/>
      <w:start w:val="1"/>
    </w:lvl>
  </w:abstractNum>
  <w:abstractNum w:abstractNumId="89">
    <w:nsid w:val="49DA307D"/>
    <w:multiLevelType w:val="hybridMultilevel"/>
    <w:lvl w:ilvl="0">
      <w:lvlJc w:val="left"/>
      <w:lvlText w:val="(%1)"/>
      <w:numFmt w:val="lowerLetter"/>
      <w:start w:val="5"/>
    </w:lvl>
  </w:abstractNum>
  <w:abstractNum w:abstractNumId="90">
    <w:nsid w:val="7055A5F5"/>
    <w:multiLevelType w:val="hybridMultilevel"/>
    <w:lvl w:ilvl="0">
      <w:lvlJc w:val="left"/>
      <w:lvlText w:val="(%1)"/>
      <w:numFmt w:val="lowerLetter"/>
      <w:start w:val="8"/>
    </w:lvl>
  </w:abstractNum>
  <w:abstractNum w:abstractNumId="91">
    <w:nsid w:val="5FB8370B"/>
    <w:multiLevelType w:val="hybridMultilevel"/>
    <w:lvl w:ilvl="0">
      <w:lvlJc w:val="left"/>
      <w:lvlText w:val="(%1)"/>
      <w:numFmt w:val="lowerLetter"/>
      <w:start w:val="1"/>
    </w:lvl>
  </w:abstractNum>
  <w:abstractNum w:abstractNumId="92">
    <w:nsid w:val="50801EE1"/>
    <w:multiLevelType w:val="hybridMultilevel"/>
    <w:lvl w:ilvl="0">
      <w:lvlJc w:val="left"/>
      <w:lvlText w:val="(%1)"/>
      <w:numFmt w:val="lowerLetter"/>
      <w:start w:val="5"/>
    </w:lvl>
  </w:abstractNum>
  <w:abstractNum w:abstractNumId="93">
    <w:nsid w:val="488AC1A"/>
    <w:multiLevelType w:val="hybridMultilevel"/>
    <w:lvl w:ilvl="0">
      <w:lvlJc w:val="left"/>
      <w:lvlText w:val="%1"/>
      <w:numFmt w:val="lowerRoman"/>
      <w:start w:val="1"/>
    </w:lvl>
    <w:lvl w:ilvl="1">
      <w:lvlJc w:val="left"/>
      <w:lvlText w:val="(%2)"/>
      <w:numFmt w:val="upperLetter"/>
      <w:start w:val="3"/>
    </w:lvl>
  </w:abstractNum>
  <w:abstractNum w:abstractNumId="94">
    <w:nsid w:val="5FB8011C"/>
    <w:multiLevelType w:val="hybridMultilevel"/>
    <w:lvl w:ilvl="0">
      <w:lvlJc w:val="left"/>
      <w:lvlText w:val="(%1)"/>
      <w:numFmt w:val="lowerRoman"/>
      <w:start w:val="3"/>
    </w:lvl>
    <w:lvl w:ilvl="1">
      <w:lvlJc w:val="left"/>
      <w:lvlText w:val="%2"/>
      <w:numFmt w:val="upperLetter"/>
      <w:start w:val="1"/>
    </w:lvl>
  </w:abstractNum>
  <w:abstractNum w:abstractNumId="95">
    <w:nsid w:val="6AA78F7F"/>
    <w:multiLevelType w:val="hybridMultilevel"/>
    <w:lvl w:ilvl="0">
      <w:lvlJc w:val="left"/>
      <w:lvlText w:val="(%1)"/>
      <w:numFmt w:val="lowerLetter"/>
      <w:start w:val="1"/>
    </w:lvl>
    <w:lvl w:ilvl="1">
      <w:lvlJc w:val="left"/>
      <w:lvlText w:val="(%2)"/>
      <w:numFmt w:val="lowerLetter"/>
      <w:start w:val="9"/>
    </w:lvl>
  </w:abstractNum>
  <w:abstractNum w:abstractNumId="96">
    <w:nsid w:val="7672BD23"/>
    <w:multiLevelType w:val="hybridMultilevel"/>
    <w:lvl w:ilvl="0">
      <w:lvlJc w:val="left"/>
      <w:lvlText w:val="(%1)"/>
      <w:numFmt w:val="lowerRoman"/>
      <w:start w:val="2"/>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jpeg"/><Relationship Id="rId107" Type="http://schemas.openxmlformats.org/officeDocument/2006/relationships/image" Target="media/image97.png"/><Relationship Id="rId108" Type="http://schemas.openxmlformats.org/officeDocument/2006/relationships/image" Target="media/image98.jpe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jpe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jpeg"/><Relationship Id="rId123" Type="http://schemas.openxmlformats.org/officeDocument/2006/relationships/image" Target="media/image113.jpe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jpeg"/><Relationship Id="rId146" Type="http://schemas.openxmlformats.org/officeDocument/2006/relationships/image" Target="media/image136.png"/><Relationship Id="rId147" Type="http://schemas.openxmlformats.org/officeDocument/2006/relationships/image" Target="media/image137.png"/><Relationship Id="rId78" Type="http://schemas.openxmlformats.org/officeDocument/2006/relationships/hyperlink" Target="https://www.sec.gov/Archives/edgar/data/711404/000119312521353917/d220660dex101.htm" TargetMode="External"/><Relationship Id="rId79" Type="http://schemas.openxmlformats.org/officeDocument/2006/relationships/hyperlink" Target="https://www.sec.gov/Archives/edgar/data/0000711404/000119312521361145/d272863dex101.htm" TargetMode="External"/><Relationship Id="rId80" Type="http://schemas.openxmlformats.org/officeDocument/2006/relationships/hyperlink" Target="https://www.sec.gov/Archives/edgar/data/711404/000119312522029799/d310069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2022-03-04T15:22:05Z</dcterms:created>
  <dcterms:modified xsi:type="dcterms:W3CDTF">2022-03-04T15:22:05Z</dcterms:modified>
</cp:coreProperties>
</file>