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January 31, 2019</w:t>
      </w:r>
    </w:p>
    <w:p>
      <w:pPr>
        <w:sectPr>
          <w:pgSz w:w="11900" w:h="16838" w:orient="portrait"/>
          <w:cols w:equalWidth="0" w:num="1">
            <w:col w:w="11420"/>
          </w:cols>
          <w:pgMar w:left="240" w:top="274" w:right="239" w:bottom="1440" w:gutter="0" w:footer="0" w:header="0"/>
          <w:type w:val="continuous"/>
        </w:sectPr>
      </w:pPr>
    </w:p>
    <w:p>
      <w:pPr>
        <w:spacing w:after="0" w:line="245" w:lineRule="exact"/>
        <w:rPr>
          <w:sz w:val="24"/>
          <w:szCs w:val="24"/>
          <w:color w:val="auto"/>
        </w:rPr>
      </w:pPr>
    </w:p>
    <w:p>
      <w:pPr>
        <w:ind w:left="14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rPr>
                <w:sz w:val="20"/>
                <w:szCs w:val="20"/>
                <w:color w:val="auto"/>
              </w:rPr>
            </w:pPr>
            <w:r>
              <w:rPr>
                <w:rFonts w:ascii="Arial" w:cs="Arial" w:eastAsia="Arial" w:hAnsi="Arial"/>
                <w:sz w:val="18"/>
                <w:szCs w:val="18"/>
                <w:color w:val="auto"/>
              </w:rPr>
              <w:t>o</w:t>
            </w:r>
          </w:p>
        </w:tc>
        <w:tc>
          <w:tcPr>
            <w:tcW w:w="494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20" w:type="dxa"/>
            <w:vAlign w:val="bottom"/>
          </w:tcPr>
          <w:p>
            <w:pPr>
              <w:ind w:left="500"/>
              <w:spacing w:after="0"/>
              <w:rPr>
                <w:sz w:val="20"/>
                <w:szCs w:val="20"/>
                <w:color w:val="auto"/>
              </w:rPr>
            </w:pPr>
            <w:r>
              <w:rPr>
                <w:rFonts w:ascii="Arial" w:cs="Arial" w:eastAsia="Arial" w:hAnsi="Arial"/>
                <w:sz w:val="18"/>
                <w:szCs w:val="18"/>
                <w:color w:val="auto"/>
              </w:rPr>
              <w:t>o</w:t>
            </w:r>
          </w:p>
        </w:tc>
        <w:tc>
          <w:tcPr>
            <w:tcW w:w="49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right="19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Common Stock, $.10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49,374,137</w:t>
            </w:r>
          </w:p>
        </w:tc>
      </w:tr>
      <w:tr>
        <w:trPr>
          <w:trHeight w:val="27"/>
        </w:trPr>
        <w:tc>
          <w:tcPr>
            <w:tcW w:w="45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88"/>
              </w:rPr>
              <w:t>Class</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Outstanding at February 26, 2019</w:t>
            </w:r>
          </w:p>
        </w:tc>
      </w:tr>
    </w:tbl>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Income - Three Months Ended January 31, 2019 and 2018</w:t>
            </w:r>
          </w:p>
        </w:tc>
        <w:tc>
          <w:tcPr>
            <w:tcW w:w="204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Comprehensive Income (Loss) - Three Months Ended January 31, 2019 and 2018</w:t>
            </w:r>
          </w:p>
        </w:tc>
        <w:tc>
          <w:tcPr>
            <w:tcW w:w="36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Consolidated Condensed Balance Sheets - January 31, 2019 and October 31, 2018</w:t>
            </w:r>
          </w:p>
        </w:tc>
        <w:tc>
          <w:tcPr>
            <w:tcW w:w="2340" w:type="dxa"/>
            <w:vAlign w:val="bottom"/>
            <w:gridSpan w:val="6"/>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Stockholders' Equity - January 31, 2019 and January 31, 2018</w:t>
            </w:r>
          </w:p>
        </w:tc>
        <w:tc>
          <w:tcPr>
            <w:tcW w:w="1780" w:type="dxa"/>
            <w:vAlign w:val="bottom"/>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7"/>
          </w:tcPr>
          <w:p>
            <w:pPr>
              <w:spacing w:after="0"/>
              <w:rPr>
                <w:sz w:val="20"/>
                <w:szCs w:val="20"/>
                <w:color w:val="auto"/>
              </w:rPr>
            </w:pPr>
            <w:r>
              <w:rPr>
                <w:rFonts w:ascii="Arial" w:cs="Arial" w:eastAsia="Arial" w:hAnsi="Arial"/>
                <w:sz w:val="18"/>
                <w:szCs w:val="18"/>
                <w:color w:val="0000FF"/>
              </w:rPr>
              <w:t>Consolidated Condensed Statements of Cash Flows - Three Months Ended January 31, 2019 and 2018</w:t>
            </w:r>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top w:val="single" w:sz="8" w:color="0000FF"/>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900" w:type="dxa"/>
            <w:vAlign w:val="bottom"/>
            <w:gridSpan w:val="2"/>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 About Market Risk</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120" w:type="dxa"/>
            <w:vAlign w:val="bottom"/>
            <w:gridSpan w:val="8"/>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OTHER INFORMATION</w:t>
              </w:r>
            </w:hyperlink>
          </w:p>
        </w:tc>
        <w:tc>
          <w:tcPr>
            <w:tcW w:w="65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7080" w:type="dxa"/>
            <w:vAlign w:val="bottom"/>
            <w:gridSpan w:val="1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406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1"/>
          </w:tcPr>
          <w:p>
            <w:pPr>
              <w:ind w:left="4240"/>
              <w:spacing w:after="0"/>
              <w:rPr>
                <w:sz w:val="20"/>
                <w:szCs w:val="20"/>
                <w:color w:val="auto"/>
              </w:rPr>
            </w:pPr>
            <w:r>
              <w:rPr>
                <w:rFonts w:ascii="Arial" w:cs="Arial" w:eastAsia="Arial" w:hAnsi="Arial"/>
                <w:sz w:val="18"/>
                <w:szCs w:val="18"/>
                <w:color w:val="auto"/>
                <w:w w:val="79"/>
              </w:rPr>
              <w:t>2</w:t>
            </w: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 basic</w:t>
            </w: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share - 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Number of shares used to compute earnings (loss) per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net of tax</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102.3</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2019</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 for doubtful accounts of $19.7 at January 31, 2019 and</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$19.0 at October 31, 2018</w:t>
            </w: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2,805.0</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Contingencies (see Note 13)</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10 cents par value, shares authorized: 120.0; issued 52.9 at January 31, 2019 and</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52.8 at October 31, 2018</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2,664.4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January 31, 2019 and 3.6 shares at October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6,298.6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Condensed Statements of Stockholders'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line="20" w:lineRule="exact"/>
              <w:rPr>
                <w:sz w:val="1"/>
                <w:szCs w:val="1"/>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2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2017</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43"/>
        </w:trPr>
        <w:tc>
          <w:tcPr>
            <w:tcW w:w="27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January 31, 2018</w:t>
            </w:r>
          </w:p>
        </w:tc>
        <w:tc>
          <w:tcPr>
            <w:tcW w:w="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2018</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3,307.8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stock repurchase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 xml:space="preserve">ASU 2016-16 adoption </w:t>
            </w:r>
            <w:r>
              <w:rPr>
                <w:rFonts w:ascii="Arial" w:cs="Arial" w:eastAsia="Arial" w:hAnsi="Arial"/>
                <w:sz w:val="8"/>
                <w:szCs w:val="8"/>
                <w:color w:val="auto"/>
              </w:rPr>
              <w:t>(1)</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43"/>
        </w:trPr>
        <w:tc>
          <w:tcPr>
            <w:tcW w:w="27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January 31, 2019</w:t>
            </w:r>
          </w:p>
        </w:tc>
        <w:tc>
          <w:tcPr>
            <w:tcW w:w="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ind w:right="20" w:firstLine="8"/>
        <w:spacing w:after="0" w:line="246" w:lineRule="auto"/>
        <w:tabs>
          <w:tab w:leader="none" w:pos="167" w:val="left"/>
        </w:tabs>
        <w:numPr>
          <w:ilvl w:val="0"/>
          <w:numId w:val="1"/>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We adopted ASU 2016-16, Income Taxes (Topic 740): Intra-Entity Transfers of Assets Other Than Inventory in the first quarter of fiscal 2019. Refer to “Note 1. General" for further information.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6" w:name="page7"/>
    <w:bookmarkEnd w:id="6"/>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Increase in operating capital</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4"/>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44"/>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proceeds from short-term debt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acquisition costs</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304"/>
        </w:trPr>
        <w:tc>
          <w:tcPr>
            <w:tcW w:w="8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1"/>
        </w:trPr>
        <w:tc>
          <w:tcPr>
            <w:tcW w:w="812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Restricted cash included in other current assets </w:t>
            </w:r>
            <w:r>
              <w:rPr>
                <w:rFonts w:ascii="Arial" w:cs="Arial" w:eastAsia="Arial" w:hAnsi="Arial"/>
                <w:sz w:val="25"/>
                <w:szCs w:val="25"/>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right="240" w:firstLine="8"/>
        <w:spacing w:after="0" w:line="246" w:lineRule="auto"/>
        <w:tabs>
          <w:tab w:leader="none" w:pos="167" w:val="left"/>
        </w:tabs>
        <w:numPr>
          <w:ilvl w:val="0"/>
          <w:numId w:val="2"/>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We adopted ASU 2016-18, Statement of Cash Flows (Topic 230): Restricted Cash in the fourth quarter of fiscal 2018. Amounts included in restricted cash represent those required to be set aside by a financial arrangement.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2018.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 The terms "the Company", "we", "us", and "our" are used to refer collectively to the Cooper Companies, Inc. and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Financial Accounting Standards Board (FASB) issued Accounting Standards Update (ASU) 2017-07,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715): Improving the Presentation of Net Periodic Pension Cost and Net Periodic Postretirement Benefit Cost</w:t>
      </w:r>
      <w:r>
        <w:rPr>
          <w:rFonts w:ascii="Arial" w:cs="Arial" w:eastAsia="Arial" w:hAnsi="Arial"/>
          <w:sz w:val="18"/>
          <w:szCs w:val="18"/>
          <w:color w:val="auto"/>
        </w:rPr>
        <w:t>. The ASU requires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the service cost component from the other components of net benefit cost. The service cost component is now presented in the same income statement line as other compensation costs arising from services rendered by the pertinent employees during the period and the other components of net benefit costs are presented separately as other income/expense below operating income. The Company adopted this guidance on November 1, 2018, and it did not have a material impact on the Company’s reported financial results.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 2016-16 requires companies to apply a modified retrospective approach with a cumulative catch-up adjustment to opening retained earnings in the period of adoption. The Company adopted ASU 2016-16 in the first quarter of fiscal 2019 on a modified retrospective basis. The Company recorded the cumulative effect of the change as a decrease to retained earnings of approximately $13.3 million. The cumulative effect adjustment represents the recognition of unrecognized income tax effects from intra-entity transfers of assets other than inventory that occurred prior to the date of adoption.</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ASU requires revenue recognition to depict the transfer of goods or services to customers at an amount that reflects the consideration to which the entity expects to be entitled in exchange for those goods or services. The amendments in the ASU can be applied either retrospectively to each prior reporting period presented or alternatively, the modified retrospective transition method whereby the company recognizes the cumulative effect of initially applying the guidance as an opening balance sheet adjustment to equity in the period of initial application. This alternative approach must be supplemented by additional disclosures.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adopted ASU 2014-09 on November 1, 2018, using the modified retrospective transition method. We did not recognize any cumulative effect of initially applying the new revenue standard as an adjustment to our opening balance of retained earnings due to its immaterial impact. The comparative information has not been restated and continues to be reported under the accounting standards in effect for those periods. There was no material impact of ASC 606 to our financial statements during the three months ended January 31, 2019. We do not expect the adoption of the new revenue standard to have a material impact to our net income on an ongoing basis.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Company applies the provisions of Accounting Standards Codification (ASC) 606-10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appropriate guidance. The Company recognizes revenue under the core principle to depict the transfer of control to the Company’s customers in an amount reflecting the consideration to which the Company expects to be entitled.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contract, and (5) recognize revenue when a performance obligation is satisfied. For a complete discussion of accounting for net product revenue, see Note 2. Revenue Recognition.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ASC 808 and ASC 606 to clarify that transactions in a collaborative arrangement should be accounted for under ASC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We are currently evaluating the impact of ASU 2018-18 which is effective for the Company in our fiscal year and interim periods beginning on November 1, 2020.</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 - Internal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This guidance requires companies to apply the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guidance in ASC 350-40 to implementation costs incurred in a hosting arrangement that is a service contract to determine whether to capitalize certain implementation costs or expense them as incurred. We are currently evaluating the impact of ASU 2018-15 which is effective for the Company in our fiscal year and interim periods beginning on November 1, 2020.</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7"/>
          <w:szCs w:val="17"/>
          <w:i w:val="1"/>
          <w:iCs w:val="1"/>
          <w:color w:val="auto"/>
        </w:rPr>
        <w:t>Codification Improvements to Topic 842, Leases and ASU 2018-11, Leases Topic 842 Target improvements</w:t>
      </w:r>
      <w:r>
        <w:rPr>
          <w:rFonts w:ascii="Arial" w:cs="Arial" w:eastAsia="Arial" w:hAnsi="Arial"/>
          <w:sz w:val="17"/>
          <w:szCs w:val="17"/>
          <w:color w:val="auto"/>
        </w:rPr>
        <w:t>, which provides an additional (and optional) transition method whereby the new lease standard is applied at the adoption date and recognized as an adjustment to retained earnings. This standard is effective for the Company in our fiscal year and interim periods beginning on November 1, 2019.</w:t>
      </w:r>
    </w:p>
    <w:p>
      <w:pPr>
        <w:spacing w:after="0" w:line="17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anticipate this standard to have a material impact on our Consolidated Balance Sheets and related disclosures due to the recognition of ROU assets and lease liabilities for operating leases. However, we do not expect adoption to have a material impact on our Consolidated Income Statements. We are continuing to assess and evaluate the potential impacts of the standard as well as the election of transition method and certain practical expedients available within the ASU. We are in the process of documenting and analyzing our lease contracts, assessment of business processes and controls, selecting a system solution and completing our analysis of information necessary to determine the impact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Factoring Program</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Proceeds from amounts factored by the Company are recorded as an increase to cash and a reduction to accounts receivable outstanding in the Company's Consolidated Balance Sheets. Cash flows attributable to factoring are reflected as cash flows from operating activities in the Company’s Consolidated Statements of Cash Flows. Factoring fees associated with the sale of factored receivables for the three months ended January 31, 2019 were $0.4 million and were minimal for the three months ended January 31,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Note14. Business Segment Information, for disaggregation of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liability.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w:t>
      </w:r>
    </w:p>
    <w:p>
      <w:pPr>
        <w:spacing w:after="0" w:line="18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the consolidated statements of income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Returns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There is inherent judgment in estimating future refunds as they are susceptible to factors outside of our influence.</w:t>
      </w:r>
    </w:p>
    <w:p>
      <w:pPr>
        <w:ind w:right="280"/>
        <w:spacing w:after="0" w:line="255" w:lineRule="auto"/>
        <w:rPr>
          <w:sz w:val="20"/>
          <w:szCs w:val="20"/>
          <w:color w:val="auto"/>
        </w:rPr>
      </w:pPr>
      <w:r>
        <w:rPr>
          <w:rFonts w:ascii="Arial" w:cs="Arial" w:eastAsia="Arial" w:hAnsi="Arial"/>
          <w:sz w:val="18"/>
          <w:szCs w:val="18"/>
          <w:color w:val="auto"/>
        </w:rPr>
        <w:t>However, we have significant experience in estimating the amount of refunds, based primarily on historical data. Our refund liability for product returns was $12.6 million at January 31, 2019 which is included in Accrued liabilities on our Condensed Consolidated Balance Sheets and represents the expected value of the aggregate refunds that will be due to our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 and Chargebacks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Rebates are estimated based on contractual terms, historical experience, customer mix, trend analysis and projected market conditions in the various markets served.</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timing of billing and revenue recognition primarily occurs simultaneously. The Company does not have material contract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business and asset acquisitions that the Company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2019</w:t>
            </w:r>
          </w:p>
        </w:tc>
        <w:tc>
          <w:tcPr>
            <w:tcW w:w="260" w:type="dxa"/>
            <w:vAlign w:val="bottom"/>
          </w:tcPr>
          <w:p>
            <w:pPr>
              <w:spacing w:after="0"/>
              <w:rPr>
                <w:sz w:val="14"/>
                <w:szCs w:val="14"/>
                <w:color w:val="auto"/>
              </w:rPr>
            </w:pPr>
          </w:p>
        </w:tc>
        <w:tc>
          <w:tcPr>
            <w:tcW w:w="154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50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43"/>
        </w:trPr>
        <w:tc>
          <w:tcPr>
            <w:tcW w:w="750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2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1,061.9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37"/>
        </w:trPr>
        <w:tc>
          <w:tcPr>
            <w:tcW w:w="7500" w:type="dxa"/>
            <w:vAlign w:val="bottom"/>
            <w:gridSpan w:val="3"/>
          </w:tcPr>
          <w:p>
            <w:pPr>
              <w:ind w:left="40"/>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r>
      <w:tr>
        <w:trPr>
          <w:trHeight w:val="243"/>
        </w:trPr>
        <w:tc>
          <w:tcPr>
            <w:tcW w:w="7500" w:type="dxa"/>
            <w:vAlign w:val="bottom"/>
            <w:gridSpan w:val="3"/>
          </w:tcPr>
          <w:p>
            <w:pPr>
              <w:ind w:left="40"/>
              <w:spacing w:after="0"/>
              <w:rPr>
                <w:sz w:val="20"/>
                <w:szCs w:val="20"/>
                <w:color w:val="auto"/>
              </w:rPr>
            </w:pPr>
            <w:r>
              <w:rPr>
                <w:rFonts w:ascii="Arial" w:cs="Arial" w:eastAsia="Arial" w:hAnsi="Arial"/>
                <w:sz w:val="18"/>
                <w:szCs w:val="18"/>
                <w:color w:val="auto"/>
              </w:rPr>
              <w:t>Net tangible assets</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funded by cash generated from operations or facility borrowings.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business acquisitions, we recorded the tangible and intangible assets acquired and liabilities assumed at their fair values as of the applicable date of acquisition. For assets acquisitions, we recorded the tangible and intangible assets acquired and liabilities assumed at their estimated and relative fair values as of the applicable date of acquisition.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229"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On December 31, 2018, CooperSurgical completed the acquisition of Incisive Surgical Inc., a privately-held U.S. medical device company that develops mechanical surgical solutions for skin closure. The purchase price allocation is preliminary and we are in the process of finalizing information primarily related to property, plant &amp; equipment, inventories, receivables, certain accruals and other liabilities, taxes and the corresponding impact on goodwill.</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28, 2018, CooperVision completed the acquisition of Blanchard Contact Lenses. Blanchard is a privately-held scleral lens company, which expands CooperVision's specialty and scleral lens portfolio. The purchase price allocation is preliminary and we are in the process of finalizing information primarily related to property, plant &amp; equipment, inventories, receivables, certain accruals and other liabilities, taxes and the corresponding impact on goodwill.</w:t>
      </w:r>
    </w:p>
    <w:p>
      <w:pPr>
        <w:spacing w:after="0" w:line="1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29"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for $1.1 billion. This asset acquisition broadened and strengthened CooperSurgical's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relative fair values of net assets acquired and liabilities assumed using the cost accumulation and allocation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84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64"/>
        </w:trPr>
        <w:tc>
          <w:tcPr>
            <w:tcW w:w="94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70"/>
        </w:trPr>
        <w:tc>
          <w:tcPr>
            <w:tcW w:w="94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Assembled workforce intangible asset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94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940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94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ind w:right="240" w:firstLine="8"/>
        <w:spacing w:after="0" w:line="276" w:lineRule="auto"/>
        <w:tabs>
          <w:tab w:leader="none" w:pos="178"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1" w:lineRule="exact"/>
        <w:rPr>
          <w:rFonts w:ascii="Arial" w:cs="Arial" w:eastAsia="Arial" w:hAnsi="Arial"/>
          <w:sz w:val="20"/>
          <w:szCs w:val="20"/>
          <w:i w:val="1"/>
          <w:iCs w:val="1"/>
          <w:color w:val="auto"/>
          <w:vertAlign w:val="superscript"/>
        </w:rPr>
      </w:pPr>
    </w:p>
    <w:p>
      <w:pPr>
        <w:ind w:left="180" w:hanging="172"/>
        <w:spacing w:after="0" w:line="214" w:lineRule="auto"/>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Inventory relative fair value includes step up of $45.4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3, 2018, CooperSurgical completed the acquisition of The LifeGlobal Group (LifeGlobal). LifeGlobal was a privately held company that specializes primarily in in-vitro fertilization (IVF) media. LifeGlobal’s product categories include media products as well as IVF laboratory air filtration products and dishware. We have completed the purchase price allocation for this acquisition.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We have completed the purchase price allocation for this acquisition.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We have completed the purchase price allocation for this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31, 2019</w:t>
            </w:r>
          </w:p>
        </w:tc>
        <w:tc>
          <w:tcPr>
            <w:tcW w:w="340" w:type="dxa"/>
            <w:vAlign w:val="bottom"/>
          </w:tcPr>
          <w:p>
            <w:pPr>
              <w:spacing w:after="0"/>
              <w:rPr>
                <w:sz w:val="14"/>
                <w:szCs w:val="14"/>
                <w:color w:val="auto"/>
              </w:rPr>
            </w:pPr>
          </w:p>
        </w:tc>
        <w:tc>
          <w:tcPr>
            <w:tcW w:w="1780" w:type="dxa"/>
            <w:vAlign w:val="bottom"/>
          </w:tcPr>
          <w:p>
            <w:pPr>
              <w:jc w:val="right"/>
              <w:ind w:right="454"/>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4"/>
        </w:trPr>
        <w:tc>
          <w:tcPr>
            <w:tcW w:w="6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43"/>
        </w:trPr>
        <w:tc>
          <w:tcPr>
            <w:tcW w:w="626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2018</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three months ended January 31,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January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and evaluates its goodwill balances and tests them for impairment in accordance with related accounting standards. The Company performed its annual impairment assessment in its third quarters of fiscal 2018 and fiscal 2017 respectively, and its analysis indicated that the Company had no impairment of goodwill.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720"/>
              <w:spacing w:after="0"/>
              <w:rPr>
                <w:sz w:val="20"/>
                <w:szCs w:val="20"/>
                <w:color w:val="auto"/>
              </w:rPr>
            </w:pPr>
            <w:r>
              <w:rPr>
                <w:rFonts w:ascii="Arial" w:cs="Arial" w:eastAsia="Arial" w:hAnsi="Arial"/>
                <w:sz w:val="14"/>
                <w:szCs w:val="14"/>
                <w:b w:val="1"/>
                <w:bCs w:val="1"/>
                <w:color w:val="auto"/>
              </w:rPr>
              <w:t>January 31, 2019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ind w:left="580"/>
              <w:spacing w:after="0"/>
              <w:rPr>
                <w:sz w:val="20"/>
                <w:szCs w:val="20"/>
                <w:color w:val="auto"/>
              </w:rPr>
            </w:pPr>
            <w:r>
              <w:rPr>
                <w:rFonts w:ascii="Arial" w:cs="Arial" w:eastAsia="Arial" w:hAnsi="Arial"/>
                <w:sz w:val="14"/>
                <w:szCs w:val="14"/>
                <w:b w:val="1"/>
                <w:bCs w:val="1"/>
                <w:color w:val="auto"/>
              </w:rPr>
              <w:t>October 31, 2018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Amortization Period (In</w:t>
            </w:r>
          </w:p>
        </w:tc>
        <w:tc>
          <w:tcPr>
            <w:tcW w:w="0" w:type="dxa"/>
            <w:vAlign w:val="bottom"/>
          </w:tcPr>
          <w:p>
            <w:pPr>
              <w:spacing w:after="0"/>
              <w:rPr>
                <w:sz w:val="1"/>
                <w:szCs w:val="1"/>
                <w:color w:val="auto"/>
              </w:rPr>
            </w:pPr>
          </w:p>
        </w:tc>
      </w:tr>
      <w:tr>
        <w:trPr>
          <w:trHeight w:val="176"/>
        </w:trPr>
        <w:tc>
          <w:tcPr>
            <w:tcW w:w="36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5"/>
                <w:szCs w:val="15"/>
                <w:color w:val="auto"/>
              </w:rPr>
            </w:pPr>
          </w:p>
        </w:tc>
        <w:tc>
          <w:tcPr>
            <w:tcW w:w="13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8"/>
        </w:trPr>
        <w:tc>
          <w:tcPr>
            <w:tcW w:w="366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59"/>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360" w:type="dxa"/>
            <w:vAlign w:val="bottom"/>
            <w:gridSpan w:val="4"/>
          </w:tcPr>
          <w:p>
            <w:pPr>
              <w:jc w:val="right"/>
              <w:ind w:right="179"/>
              <w:spacing w:after="0" w:line="158"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Trademarks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149.3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2"/>
          </w:tcPr>
          <w:p>
            <w:pPr>
              <w:jc w:val="right"/>
              <w:ind w:right="19"/>
              <w:spacing w:after="0"/>
              <w:rPr>
                <w:sz w:val="20"/>
                <w:szCs w:val="20"/>
                <w:color w:val="auto"/>
              </w:rPr>
            </w:pPr>
            <w:r>
              <w:rPr>
                <w:rFonts w:ascii="Arial" w:cs="Arial" w:eastAsia="Arial" w:hAnsi="Arial"/>
                <w:sz w:val="18"/>
                <w:szCs w:val="18"/>
                <w:color w:val="auto"/>
              </w:rPr>
              <w:t>16.9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Composite intangible asset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70.8</w:t>
            </w:r>
          </w:p>
        </w:tc>
        <w:tc>
          <w:tcPr>
            <w:tcW w:w="1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190.7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3"/>
              </w:rPr>
              <w:t>168.6</w:t>
            </w:r>
          </w:p>
        </w:tc>
        <w:tc>
          <w:tcPr>
            <w:tcW w:w="1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License and distribution rights and other</w:t>
            </w:r>
          </w:p>
        </w:tc>
        <w:tc>
          <w:tcPr>
            <w:tcW w:w="2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19"/>
              <w:spacing w:after="0"/>
              <w:rPr>
                <w:sz w:val="20"/>
                <w:szCs w:val="20"/>
                <w:color w:val="auto"/>
              </w:rPr>
            </w:pPr>
            <w:r>
              <w:rPr>
                <w:rFonts w:ascii="Arial" w:cs="Arial" w:eastAsia="Arial" w:hAnsi="Arial"/>
                <w:sz w:val="18"/>
                <w:szCs w:val="18"/>
                <w:color w:val="auto"/>
              </w:rPr>
              <w:t>52.7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2,052.0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2,021.0</w:t>
            </w:r>
          </w:p>
        </w:tc>
        <w:tc>
          <w:tcPr>
            <w:tcW w:w="8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3"/>
              </w:rPr>
              <w:t>499.7</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6"/>
            <w:vMerge w:val="restart"/>
          </w:tcPr>
          <w:p>
            <w:pPr>
              <w:ind w:left="40"/>
              <w:spacing w:after="0"/>
              <w:rPr>
                <w:sz w:val="20"/>
                <w:szCs w:val="20"/>
                <w:color w:val="auto"/>
              </w:rPr>
            </w:pPr>
            <w:r>
              <w:rPr>
                <w:rFonts w:ascii="Arial" w:cs="Arial" w:eastAsia="Arial" w:hAnsi="Arial"/>
                <w:sz w:val="18"/>
                <w:szCs w:val="18"/>
                <w:color w:val="auto"/>
                <w:w w:val="95"/>
              </w:rPr>
              <w:t>Less: accumulated amortization and translation</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5"/>
              <w:spacing w:after="0"/>
              <w:rPr>
                <w:sz w:val="20"/>
                <w:szCs w:val="20"/>
                <w:color w:val="auto"/>
              </w:rPr>
            </w:pPr>
            <w:r>
              <w:rPr>
                <w:rFonts w:ascii="Arial" w:cs="Arial" w:eastAsia="Arial" w:hAnsi="Arial"/>
                <w:sz w:val="18"/>
                <w:szCs w:val="18"/>
                <w:color w:val="auto"/>
              </w:rPr>
              <w:t>537.9</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39"/>
              <w:spacing w:after="0"/>
              <w:rPr>
                <w:sz w:val="20"/>
                <w:szCs w:val="20"/>
                <w:color w:val="auto"/>
              </w:rPr>
            </w:pPr>
            <w:r>
              <w:rPr>
                <w:rFonts w:ascii="Arial" w:cs="Arial" w:eastAsia="Arial" w:hAnsi="Arial"/>
                <w:sz w:val="18"/>
                <w:szCs w:val="18"/>
                <w:color w:val="auto"/>
              </w:rPr>
              <w:t>499.7</w:t>
            </w: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gridSpan w:val="6"/>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intangible assets,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gridSpan w:val="8"/>
          </w:tcPr>
          <w:p>
            <w:pPr>
              <w:spacing w:after="0"/>
              <w:rPr>
                <w:sz w:val="20"/>
                <w:szCs w:val="20"/>
                <w:color w:val="auto"/>
              </w:rPr>
            </w:pPr>
            <w:r>
              <w:rPr>
                <w:rFonts w:ascii="Arial" w:cs="Arial" w:eastAsia="Arial" w:hAnsi="Arial"/>
                <w:sz w:val="18"/>
                <w:szCs w:val="18"/>
                <w:color w:val="auto"/>
              </w:rPr>
              <w:t>Balances include foreign currency translation adjustments.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40" w:type="dxa"/>
            <w:vAlign w:val="bottom"/>
            <w:gridSpan w:val="18"/>
          </w:tcPr>
          <w:p>
            <w:pPr>
              <w:spacing w:after="0"/>
              <w:rPr>
                <w:sz w:val="20"/>
                <w:szCs w:val="20"/>
                <w:color w:val="auto"/>
              </w:rPr>
            </w:pPr>
            <w:r>
              <w:rPr>
                <w:rFonts w:ascii="Arial" w:cs="Arial" w:eastAsia="Arial" w:hAnsi="Arial"/>
                <w:sz w:val="18"/>
                <w:szCs w:val="18"/>
                <w:color w:val="auto"/>
                <w:w w:val="98"/>
              </w:rPr>
              <w:t>As of January 31, 2019, the estimation of amortization expenses for intangible assets with finite lives is as follows: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6"/>
              </w:rPr>
              <w:t>Fiscal years:</w:t>
            </w: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84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w w:val="91"/>
              </w:rPr>
              <w:t>Total remaining amortization for intangible assets</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0"/>
              </w:rPr>
              <w:t>Note 6. Debt</w:t>
            </w:r>
          </w:p>
        </w:tc>
        <w:tc>
          <w:tcPr>
            <w:tcW w:w="27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940" w:type="dxa"/>
            <w:vAlign w:val="bottom"/>
            <w:tcBorders>
              <w:bottom w:val="single" w:sz="8" w:color="auto"/>
            </w:tcBorders>
            <w:gridSpan w:val="4"/>
            <w:vMerge w:val="continue"/>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60" w:type="dxa"/>
            <w:vAlign w:val="bottom"/>
            <w:gridSpan w:val="6"/>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ind w:left="320"/>
              <w:spacing w:after="0"/>
              <w:rPr>
                <w:sz w:val="20"/>
                <w:szCs w:val="20"/>
                <w:color w:val="auto"/>
              </w:rPr>
            </w:pPr>
            <w:r>
              <w:rPr>
                <w:rFonts w:ascii="Arial" w:cs="Arial" w:eastAsia="Arial" w:hAnsi="Arial"/>
                <w:sz w:val="16"/>
                <w:szCs w:val="16"/>
                <w:b w:val="1"/>
                <w:bCs w:val="1"/>
                <w:color w:val="auto"/>
              </w:rPr>
              <w:t>January 31, 2019</w:t>
            </w:r>
          </w:p>
        </w:tc>
        <w:tc>
          <w:tcPr>
            <w:tcW w:w="200" w:type="dxa"/>
            <w:vAlign w:val="bottom"/>
          </w:tcPr>
          <w:p>
            <w:pPr>
              <w:spacing w:after="0"/>
              <w:rPr>
                <w:sz w:val="24"/>
                <w:szCs w:val="24"/>
                <w:color w:val="auto"/>
              </w:rPr>
            </w:pPr>
          </w:p>
        </w:tc>
        <w:tc>
          <w:tcPr>
            <w:tcW w:w="228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October 31, 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80" w:type="dxa"/>
            <w:vAlign w:val="bottom"/>
            <w:tcBorders>
              <w:top w:val="single" w:sz="8" w:color="auto"/>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Overdraft and other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37.1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Short-term Debt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37.1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Revolving credit</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420" w:type="dxa"/>
            <w:vAlign w:val="bottom"/>
            <w:gridSpan w:val="2"/>
          </w:tcPr>
          <w:p>
            <w:pPr>
              <w:jc w:val="right"/>
              <w:ind w:right="42"/>
              <w:spacing w:after="0"/>
              <w:rPr>
                <w:sz w:val="20"/>
                <w:szCs w:val="20"/>
                <w:color w:val="auto"/>
              </w:rPr>
            </w:pPr>
            <w:r>
              <w:rPr>
                <w:rFonts w:ascii="Arial" w:cs="Arial" w:eastAsia="Arial" w:hAnsi="Arial"/>
                <w:sz w:val="18"/>
                <w:szCs w:val="18"/>
                <w:color w:val="auto"/>
              </w:rPr>
              <w:t>439.0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1,550.0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jc w:val="right"/>
              <w:ind w:right="42"/>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1,686.9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1,985.7</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2,132.4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2"/>
                <w:szCs w:val="22"/>
                <w:color w:val="auto"/>
              </w:rPr>
            </w:pPr>
          </w:p>
        </w:tc>
        <w:tc>
          <w:tcPr>
            <w:tcW w:w="1420" w:type="dxa"/>
            <w:vAlign w:val="bottom"/>
            <w:gridSpan w:val="2"/>
          </w:tcPr>
          <w:p>
            <w:pPr>
              <w:jc w:val="right"/>
              <w:ind w:right="42"/>
              <w:spacing w:after="0"/>
              <w:rPr>
                <w:sz w:val="20"/>
                <w:szCs w:val="20"/>
                <w:color w:val="auto"/>
              </w:rPr>
            </w:pPr>
            <w:r>
              <w:rPr>
                <w:rFonts w:ascii="Arial" w:cs="Arial" w:eastAsia="Arial" w:hAnsi="Arial"/>
                <w:sz w:val="18"/>
                <w:szCs w:val="18"/>
                <w:color w:val="auto"/>
              </w:rPr>
              <w:t>2,022.8</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million Term Loan on November 1, 2018</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January 31, 2019, we had $400.0 million outstanding under the 2018 Term Loan Agreement.</w:t>
      </w:r>
    </w:p>
    <w:p>
      <w:pPr>
        <w:spacing w:after="0" w:line="13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Amounts outstanding under the 2018 Term Loan Agreement will bear interest, at the Company's option, at either the base rate, or the adjusted LIBO rate (each as defined in the 2018 Term Loan Agreement), plus, in each case, an applicable rate of 0.00% in respect of base rate loans and 0.60% in respect of adjusted LIBO rate loans. The weighted average interest rate for the three months ended January 31, 2019 was 2.99%.</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2018 Term Loan Agreement contains customary restrictive covenants, as well as financial covenants that require the Company to maintain a certain Total Leverage Ratio and Interest Coverage Ratio (each as defined in the 2018 Term Loan Agreement) consistent with the 2016 Credit Agreement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January 31, 2019, we had $1.425 billion outstanding under the 2017 Term Loan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 2016, we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we have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2016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January 31, 2019, we had $125.0 million outstanding under the 2016 Term Loan Facility and $859.5 million available under the 2016 Revolving Credit Facility.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January 31, 2019, we were in compliance with the Interest Coverage Ratio at 10.70 to 1.00 and the Total Leverage Ratio at 2.25 to 1.00 for 2018 Term Loan Agreement, the 2017 Term Loan Agreement, and the 2016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2018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16"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2017 Act was enacted into law on December 22, 2017 and significantly changes existing U.S. tax law. The 2017 Act adopts a territorial tax system, imposes a mandatory one-time transition tax on earnings of foreign subsidiaries that were previously indefinitely reinvested, and reduces the U.S. federal statutory tax rate from 35% to 21%. For first quarter of fiscal 2019, the Company has utilized the enacted U.S. federal statutory tax rate of 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right="180" w:firstLine="8"/>
        <w:spacing w:after="0" w:line="29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2017 Act was effective in the first quarter of fiscal 2018. As of January 31, 2019, we have completed our accounting for the tax effects of the enactment of the 2017 Act and recorded a final adjustment to our provisional tax expense pursuant to SAB 118. During the first quarter of fiscal 2019, we recorded tax benefit of $4.4 million in our financial statements to finalize the tax effects of the 2017 Act. The Company is no longer asserting that earnings from our foreign subsidiaries are indefinitely reinvested.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The 2017 Act imposes a new tax on foreign earnings and profits in excess of a deemed return on tangible assets of foreign subsidiaries referred to as GILTI which is effective in fiscal 2019. In accordance with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the Company is making an accounting policy election to recognize the tax expense related to GILTI in the year the tax is incurred.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effective tax rates were a benefit of 10.0% and expense of 263.7% for the first quarters of fiscal 2019 and fiscal 2018, respectively. The decrease in our effective tax rate for the first quarter of fiscal 2019 compared to the first quarter of fiscal 2018 was primarily due to the provisional charge of $202.0 million relating to the 2017 Act that was recorded in the first quarter of fiscal 2018. Our effective tax rate for the first quarter of fiscal 2019 was lower than the U.S. statutory rate because of discrete tax benefits which were partially offset by a less favorable mix of income from our foreign jurisdictions with lower tax rates. Total discrete tax benefits for the first quarter of fiscal 2019 were $18.7 million primarily relating to settlement of tax audits, revisions to the provisional tax charges relating to the 2017 Act, and excess tax benefits from share-based compensation. Our effective tax rate for the first quarter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recognize the benefit from a tax position only if it is more likely than not that the position would be sustained upon audit based solely on the technical merits of the tax position. As of January 31, 2019, and October 31, 2018, Cooper had unrecognized tax benefits of $47.1 million and $68.9 million, respectively. The decrease is primarily related to settling prior year tax audits, partially offset by additions to current period transfer pricing reserves. It is our policy to recognize interest and penalties directly related to income taxes as additional income tax expense. It is reasonably possible that $3.1 million of unrecognized tax benefits could be settled during the next twelve months.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U.S. Federal income tax examinations for fiscal 2015 through 2018 and the Internal Revenue Service is currently auditing our U.S. Consolidated Corporation Income Tax Returns for fiscal 2015 and 2016.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remains subject to income tax examinations in other significant tax jurisdictions including the United Kingdom, Japan, France and Australia for the tax years 2015 through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Earnings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4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400" w:type="dxa"/>
            <w:vAlign w:val="bottom"/>
          </w:tcPr>
          <w:p>
            <w:pPr>
              <w:spacing w:after="0"/>
              <w:rPr>
                <w:sz w:val="21"/>
                <w:szCs w:val="21"/>
                <w:color w:val="auto"/>
              </w:rPr>
            </w:pPr>
          </w:p>
        </w:tc>
        <w:tc>
          <w:tcPr>
            <w:tcW w:w="12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4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Basic earnings (loss)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gridSpan w:val="5"/>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5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4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0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w:t>
            </w: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shares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common shares*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5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(loss) per share attributable to Cooper stockholders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right="1180"/>
        <w:spacing w:after="0" w:line="261" w:lineRule="auto"/>
        <w:rPr>
          <w:sz w:val="20"/>
          <w:szCs w:val="20"/>
          <w:color w:val="auto"/>
        </w:rPr>
      </w:pPr>
      <w:r>
        <w:rPr>
          <w:rFonts w:ascii="Arial" w:cs="Arial" w:eastAsia="Arial" w:hAnsi="Arial"/>
          <w:sz w:val="18"/>
          <w:szCs w:val="18"/>
          <w:i w:val="1"/>
          <w:iCs w:val="1"/>
          <w:color w:val="auto"/>
        </w:rPr>
        <w:t>*The number of diluted weighted average common shares used to calculate fiscal 2018 diluted loss per share excludes all potentially dilutive instrument because they would be antidilutive due to the net loss position.</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stock options to purchase Cooper’s common stock and restricted stock units that were not included in the diluted earnings per share calculation because their effect would have been antidilutive for the periods presented:</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1960" w:type="dxa"/>
            <w:vAlign w:val="bottom"/>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1960" w:type="dxa"/>
            <w:vAlign w:val="bottom"/>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28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Number of stock option shares excluded</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Range of exercise prices</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gridSpan w:val="2"/>
            <w:vMerge w:val="continue"/>
          </w:tcPr>
          <w:p>
            <w:pPr>
              <w:spacing w:after="0"/>
              <w:rPr>
                <w:sz w:val="20"/>
                <w:szCs w:val="20"/>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$226.30-$254.77</w:t>
            </w:r>
          </w:p>
        </w:tc>
        <w:tc>
          <w:tcPr>
            <w:tcW w:w="100" w:type="dxa"/>
            <w:vAlign w:val="bottom"/>
          </w:tcPr>
          <w:p>
            <w:pPr>
              <w:spacing w:after="0"/>
              <w:rPr>
                <w:sz w:val="20"/>
                <w:szCs w:val="20"/>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$15.83-$229.66</w:t>
            </w: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860" w:type="dxa"/>
            <w:vAlign w:val="bottom"/>
            <w:gridSpan w:val="2"/>
          </w:tcPr>
          <w:p>
            <w:pPr>
              <w:spacing w:after="0"/>
              <w:rPr>
                <w:sz w:val="20"/>
                <w:szCs w:val="20"/>
                <w:color w:val="auto"/>
              </w:rPr>
            </w:pPr>
            <w:r>
              <w:rPr>
                <w:rFonts w:ascii="Arial" w:cs="Arial" w:eastAsia="Arial" w:hAnsi="Arial"/>
                <w:sz w:val="18"/>
                <w:szCs w:val="18"/>
                <w:color w:val="auto"/>
              </w:rPr>
              <w:t>Number of restricted stock units excluded</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Share-Based Compensation Plans</w:t>
      </w:r>
    </w:p>
    <w:p>
      <w:pPr>
        <w:spacing w:after="0" w:line="171" w:lineRule="exact"/>
        <w:rPr>
          <w:sz w:val="20"/>
          <w:szCs w:val="20"/>
          <w:color w:val="auto"/>
        </w:rPr>
      </w:pPr>
    </w:p>
    <w:p>
      <w:pPr>
        <w:jc w:val="both"/>
        <w:ind w:right="100"/>
        <w:spacing w:after="0" w:line="221" w:lineRule="exact"/>
        <w:rPr>
          <w:sz w:val="20"/>
          <w:szCs w:val="20"/>
          <w:color w:val="auto"/>
        </w:rPr>
      </w:pPr>
      <w:r>
        <w:rPr>
          <w:rFonts w:ascii="Arial" w:cs="Arial" w:eastAsia="Arial" w:hAnsi="Arial"/>
          <w:sz w:val="18"/>
          <w:szCs w:val="18"/>
          <w:color w:val="auto"/>
        </w:rPr>
        <w:t>Cooper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2018. The compensation expense and related income tax benefit recognized in our consolidated condensed financial statements for share-based awards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2"/>
        </w:trPr>
        <w:tc>
          <w:tcPr>
            <w:tcW w:w="78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r>
      <w:tr>
        <w:trPr>
          <w:trHeight w:val="243"/>
        </w:trPr>
        <w:tc>
          <w:tcPr>
            <w:tcW w:w="78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37"/>
        </w:trPr>
        <w:tc>
          <w:tcPr>
            <w:tcW w:w="782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70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78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125" w:right="279" w:bottom="1440" w:gutter="0" w:footer="0" w:header="0"/>
          <w:type w:val="continuous"/>
        </w:sectPr>
      </w:pPr>
    </w:p>
    <w:bookmarkStart w:id="17" w:name="page18"/>
    <w:bookmarkEnd w:id="17"/>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Pension</w:t>
            </w:r>
          </w:p>
        </w:tc>
        <w:tc>
          <w:tcPr>
            <w:tcW w:w="24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1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Liability</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Tax effect for the period</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ASU 2018-02 adoption</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three months ended January 31, 2019</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0"/>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Balance at January 31, 2019</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8890</wp:posOffset>
            </wp:positionV>
            <wp:extent cx="22383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4" w:lineRule="exact"/>
        <w:rPr>
          <w:sz w:val="20"/>
          <w:szCs w:val="20"/>
          <w:color w:val="auto"/>
        </w:rPr>
      </w:pPr>
    </w:p>
    <w:p>
      <w:pPr>
        <w:ind w:left="340" w:hanging="332"/>
        <w:spacing w:after="0" w:line="217" w:lineRule="auto"/>
        <w:tabs>
          <w:tab w:leader="none" w:pos="34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Represents reclassification to retained earnings from adoption of ASU 2018-02. Refer to our Annual Report on Form 10-K for the fiscal year ended October 31, 2018 for more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fiscal first quarter of 2019, we repurchased 24.5 thousand shares of the Company's common stock for $6.1 million, at an average purchase price of $248.70 per share. We did not repurchase shares during the fiscal year ended October 31, 2018. At January 31, 2019, $557.4 million remains authorized for repurchase under the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8, 2019, to stockholders of record on January 22,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Fair Value Measurements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January 31, 2019 and October 31, 2018,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carrying value of our revolving credit facility and term loans approximates fair value estimated based on current market rates (Level 2). The Company did not have any derivative assets or liabilities that may include interest rate swaps, cross currency swaps or foreign currency forward contracts as of January 31, 2019 and October 31, 2018.</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00"/>
          </w:cols>
          <w:pgMar w:left="240" w:top="125" w:right="3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3. Acquisitions which are considered a Level 3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Employee Benefits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three months ended January 31, 2019 and 2018, reflect the following components of net periodic pension costs: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2"/>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pension cost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did not contribute to the Plan in the first quarter of fiscal 2019 and expect to contribute $10.0 million during the remainder of fiscal 2019. We did not contribute to the Plan in the first quarter of fiscal 2018. The expected rate of return on Plan assets for determining net periodic pension cost is 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Contingencies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14. Business Segment Information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5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we include as corporate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760" w:type="dxa"/>
            <w:vAlign w:val="bottom"/>
          </w:tcPr>
          <w:p>
            <w:pPr>
              <w:jc w:val="right"/>
              <w:ind w:right="8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3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CooperSurgical net sales by category:</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Office and surgical procedures</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Fertility</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Total CooperSurgical net sales</w:t>
            </w:r>
          </w:p>
        </w:tc>
        <w:tc>
          <w:tcPr>
            <w:tcW w:w="3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Total operating income</w:t>
            </w:r>
          </w:p>
        </w:tc>
        <w:tc>
          <w:tcPr>
            <w:tcW w:w="3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 2019</w:t>
            </w:r>
          </w:p>
        </w:tc>
        <w:tc>
          <w:tcPr>
            <w:tcW w:w="320" w:type="dxa"/>
            <w:vAlign w:val="bottom"/>
          </w:tcPr>
          <w:p>
            <w:pPr>
              <w:spacing w:after="0"/>
              <w:rPr>
                <w:sz w:val="24"/>
                <w:szCs w:val="24"/>
                <w:color w:val="auto"/>
              </w:rPr>
            </w:pP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October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identifiable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3,869.8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3,746.0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760" w:type="dxa"/>
            <w:vAlign w:val="bottom"/>
          </w:tcPr>
          <w:p>
            <w:pPr>
              <w:jc w:val="right"/>
              <w:ind w:right="8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 to unaffiliated customers by country of domicile: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125" w:right="7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860"/>
          </w:cols>
          <w:pgMar w:left="240" w:top="125" w:right="799" w:bottom="1440" w:gutter="0" w:footer="0" w:header="0"/>
          <w:type w:val="continuous"/>
        </w:sectPr>
      </w:pPr>
    </w:p>
    <w:bookmarkStart w:id="20" w:name="page21"/>
    <w:bookmarkEnd w:id="20"/>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 2019</w:t>
            </w:r>
          </w:p>
        </w:tc>
        <w:tc>
          <w:tcPr>
            <w:tcW w:w="320" w:type="dxa"/>
            <w:vAlign w:val="bottom"/>
          </w:tcPr>
          <w:p>
            <w:pPr>
              <w:spacing w:after="0"/>
              <w:rPr>
                <w:sz w:val="14"/>
                <w:szCs w:val="14"/>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516.7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r>
      <w:tr>
        <w:trPr>
          <w:trHeight w:val="243"/>
        </w:trPr>
        <w:tc>
          <w:tcPr>
            <w:tcW w:w="40" w:type="dxa"/>
            <w:vAlign w:val="bottom"/>
          </w:tcPr>
          <w:p>
            <w:pPr>
              <w:spacing w:after="0"/>
              <w:rPr>
                <w:sz w:val="21"/>
                <w:szCs w:val="21"/>
                <w:color w:val="auto"/>
              </w:rPr>
            </w:pPr>
          </w:p>
        </w:tc>
        <w:tc>
          <w:tcPr>
            <w:tcW w:w="658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118.6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15. Subsequent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Filshie Clip System</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1, 2019, subsequent to the first quarter of fiscal 2019, the Company agreed to the early termination of an exclusive distribution agreement with Femcare Ltd. which had given CooperSurgical the exclusive rights to distribute the Filshie Clip System in the U.S. The Company received consideration of $21 million on January 31, 2019, from Utah Medical Products, Inc. (UTMD), the parent company of Femcare Ltd., in exchange for the agreement to terminate the exclusive distribution agreement prior to the end of the contractual term. UTMD has also agreed to buyback resaleable Filshie Clip System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Diverted Profit Tax</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February 26, 2019, subsequent to the first quarter of fiscal 2019, the Company received a refund of approximately GBP 22.1 million (USD 29.0 million) from the GBP 31 million (USD 42.0 million) payment made on January 19, 2018 to the U.K. Tax Authorities. The payment had been made in regard to the Diverted Profit Tax matter related to the transfer of certain intellectual property rights in connection with the 2014 acquisition of Sauflon Pharmaceutical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9" w:lineRule="exact"/>
        <w:rPr>
          <w:sz w:val="20"/>
          <w:szCs w:val="20"/>
          <w:color w:val="auto"/>
        </w:rPr>
      </w:pPr>
    </w:p>
    <w:p>
      <w:pPr>
        <w:ind w:left="660" w:right="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election to withdraw from the European Union and its potential impact on, among other things, the movement of goods and materials in our supply chain, additional regulatory approvals and requirements, and increased tariffs and duties.</w:t>
      </w:r>
    </w:p>
    <w:p>
      <w:pPr>
        <w:spacing w:after="0" w:line="127" w:lineRule="exact"/>
        <w:rPr>
          <w:rFonts w:ascii="Arial" w:cs="Arial" w:eastAsia="Arial" w:hAnsi="Arial"/>
          <w:sz w:val="18"/>
          <w:szCs w:val="18"/>
          <w:color w:val="auto"/>
        </w:rPr>
      </w:pPr>
    </w:p>
    <w:p>
      <w:pPr>
        <w:ind w:left="660" w:right="280" w:hanging="652"/>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escalating global trade barriers including additional tariffs.</w:t>
      </w:r>
    </w:p>
    <w:p>
      <w:pPr>
        <w:spacing w:after="0" w:line="111"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ind w:left="660" w:right="2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92"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in Europe, including but not limited to those resulting from data security breaches.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right="2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w:t>
      </w:r>
    </w:p>
    <w:p>
      <w:pPr>
        <w:spacing w:after="0" w:line="12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third-party payors for our products and services.</w:t>
      </w:r>
    </w:p>
    <w:p>
      <w:pPr>
        <w:spacing w:after="0" w:line="182" w:lineRule="exact"/>
        <w:rPr>
          <w:rFonts w:ascii="Arial" w:cs="Arial" w:eastAsia="Arial" w:hAnsi="Arial"/>
          <w:sz w:val="17"/>
          <w:szCs w:val="17"/>
          <w:color w:val="auto"/>
        </w:rPr>
      </w:pPr>
    </w:p>
    <w:p>
      <w:pPr>
        <w:ind w:left="660" w:right="5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events described in our Securities and Exchange Commission filings, including the “Business” and “Risk Factors” sections in our Annual Report on Form 10-K for the fiscal year ended October 31, 2018, as such Risk Factors may be updated in quarterly filings.</w:t>
      </w:r>
    </w:p>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this section, we discuss the results of our operations for the first quarter of fiscal 2019 ended January 31, 2019 and compare them with the same periods of fiscal 2018.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67945</wp:posOffset>
            </wp:positionV>
            <wp:extent cx="2727325" cy="2272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$418.5 million, up 13% from $370.9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$110.9 million, up 23% from $90.2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of $2.07, up from $2.50 diluted loss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provided by operations $101.8 million, compared to $26.2 million in the prior year period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changes in tax legislation, debt concerns, the uncertainty caused by the United Kingdom's upcoming withdrawal from the European Union, global trade barriers including additional tariffs and the trend of consolidations within the health care industry, impact our current performance and continue to represent a risk to our future performance.</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and multifocal contact lenses offered in a variety of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using silicone hydrogel Aquaform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is focused on greater worldwide market penetration using recently introduced products, and we continue to expand our presence in existing and emerging markets, including through acquisitions.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three months ended January 31, 2019:</w:t>
      </w:r>
    </w:p>
    <w:p>
      <w:pPr>
        <w:spacing w:after="0" w:line="225" w:lineRule="exact"/>
        <w:rPr>
          <w:sz w:val="20"/>
          <w:szCs w:val="20"/>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Blanchard Contact Lenses on December 28, 2018 - a privately-held scleral lens company, which expands CooperVision's specialty and scleral lens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three months ended January 31, 2018:</w:t>
      </w:r>
    </w:p>
    <w:p>
      <w:pPr>
        <w:spacing w:after="0" w:line="387"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Blueyes on January 4, 2018 - a long-standing distribution partner, which had a leading position in the distribution of contact lenses to the optical and pharmacy sector in Israel.</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Paragon Vision Sciences on December 1, 2017 - a leading provider of orthokeratology (ortho-k) specialty contact lenses and oxygen permeable rigid contact lens materials.</w:t>
      </w:r>
    </w:p>
    <w:p>
      <w:pPr>
        <w:spacing w:after="0" w:line="11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within the daily, two-week and monthly modalities along with manufacturing some of these lenses as toric and/or multifocal lenses, including but not limited to Biofinity</w:t>
      </w:r>
      <w:r>
        <w:rPr>
          <w:rFonts w:ascii="Arial" w:cs="Arial" w:eastAsia="Arial" w:hAnsi="Arial"/>
          <w:sz w:val="24"/>
          <w:szCs w:val="24"/>
          <w:color w:val="auto"/>
          <w:vertAlign w:val="superscript"/>
        </w:rPr>
        <w:t>®</w:t>
      </w:r>
      <w:r>
        <w:rPr>
          <w:rFonts w:ascii="Arial" w:cs="Arial" w:eastAsia="Arial" w:hAnsi="Arial"/>
          <w:sz w:val="17"/>
          <w:szCs w:val="17"/>
          <w:color w:val="auto"/>
        </w:rPr>
        <w:t>, MyDay</w:t>
      </w:r>
      <w:r>
        <w:rPr>
          <w:rFonts w:ascii="Arial" w:cs="Arial" w:eastAsia="Arial" w:hAnsi="Arial"/>
          <w:sz w:val="24"/>
          <w:szCs w:val="24"/>
          <w:color w:val="auto"/>
          <w:vertAlign w:val="superscript"/>
        </w:rPr>
        <w:t>®</w:t>
      </w:r>
      <w:r>
        <w:rPr>
          <w:rFonts w:ascii="Arial" w:cs="Arial" w:eastAsia="Arial" w:hAnsi="Arial"/>
          <w:sz w:val="17"/>
          <w:szCs w:val="17"/>
          <w:color w:val="auto"/>
        </w:rPr>
        <w:t>, Avaira Vitality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clariti</w:t>
      </w:r>
      <w:r>
        <w:rPr>
          <w:rFonts w:ascii="Arial" w:cs="Arial" w:eastAsia="Arial" w:hAnsi="Arial"/>
          <w:sz w:val="24"/>
          <w:szCs w:val="24"/>
          <w:color w:val="auto"/>
          <w:vertAlign w:val="superscript"/>
        </w:rPr>
        <w:t>®</w:t>
      </w:r>
      <w:r>
        <w:rPr>
          <w:rFonts w:ascii="Arial" w:cs="Arial" w:eastAsia="Arial" w:hAnsi="Arial"/>
          <w:sz w:val="17"/>
          <w:szCs w:val="17"/>
          <w:color w:val="auto"/>
        </w:rPr>
        <w:t>. Single-use lenses are designed for daily replacement and frequently replaced lenses are designed for two-week or monthly replacement. We expect increasing demand for clariti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1day and MyDay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as well as future single-use products.</w:t>
      </w:r>
    </w:p>
    <w:p>
      <w:pPr>
        <w:spacing w:after="0" w:line="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focus on advancing the health of women, babies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families through a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three months ended January 31, 2019:</w:t>
      </w:r>
    </w:p>
    <w:p>
      <w:pPr>
        <w:spacing w:after="0" w:line="387" w:lineRule="exact"/>
        <w:rPr>
          <w:sz w:val="20"/>
          <w:szCs w:val="20"/>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Incisive Surgical Inc. on December 31, 2018 - a privately-held U.S. medical device company that develops mechanical surgical solutions for skin closure.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during fiscal 2018:</w:t>
      </w:r>
    </w:p>
    <w:p>
      <w:pPr>
        <w:spacing w:after="0" w:line="387" w:lineRule="exact"/>
        <w:rPr>
          <w:sz w:val="20"/>
          <w:szCs w:val="20"/>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LifeGlobal Group on April 3, 2018 - a privately held company that specializes primarily in IVF media. LifeGlobal’s product categories include media products, IVF laboratory air filtration products and dishware.</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PARAGARD on November 1, 2017 - CooperSurgical acquired the assets of the PARAGARD IUD business from Teva for $1.1 billion. PARAGARD broadened and strengthened CooperSurgical's women's health product portfolio and it is the only non-hormonal, long lasting, reversible contraceptive option approved by the FDA and available in the United States. IUDs represent a large and growing segment of the Long Acting Reversible Contraceptive market.</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intend to continue investing in CooperSurgical's business with the goal of expanding our integrated solutions model within the areas of women's health, fertility, diagnostics and contraception.</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 xml:space="preserve">Capital Resources - </w:t>
      </w:r>
      <w:r>
        <w:rPr>
          <w:rFonts w:ascii="Arial" w:cs="Arial" w:eastAsia="Arial" w:hAnsi="Arial"/>
          <w:sz w:val="17"/>
          <w:szCs w:val="17"/>
          <w:color w:val="auto"/>
        </w:rPr>
        <w:t>At January 31, 2019, we had $146.6 million in unrestricted cash, primarily held outside the United States, and $859.5 million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2016 Revolving Credit Facility (as defined below). Term loans of $1,950.0 million remained outstanding at January 31, 2019.</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which matures on October 31, 2019 (the 2018 Term Loan Agreement). The Company used the funds to partially repay outstanding borrowings under the 2016 Revolving Credit Facility. At January 31, 2019, we had $400.0 million outstanding under the 2018 Term Loan Agreement.</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November 1, 2017, we entered into a $1.425 billion syndicated Term Loan Agreement (the 2017 Term Loan Agreement) which matures on November 1, 2022, to fund the acquisition of PARAGARD, to partially repay outstanding amounts under the 2016 Revolving Credit Facility, and for general corporate purposes. At January 31, 2019, we had $1.425 billion outstanding under the 2017 Term Loan Agreement.</w:t>
      </w:r>
    </w:p>
    <w:p>
      <w:pPr>
        <w:spacing w:after="0" w:line="12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This agreement, maturing on March 1, 2021, provides for a multi-currency revolving credit facility in an aggregate principal amount of $1.0 billion (the 2016 Revolving Credit Facility) and a term loan facility in the aggregate principal amount of $830.0 million (the 2016 Term Loan Facility). At January 31, 2019, we had $125.0 million outstanding under the 2016 Term Loan Facility. See Note 6. Debt of the Consolidated Financial Statements for additional information.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believes that current cash, cash equivalents and future cash flow from operating activities will be sufficient to meet the Company’s anticipated cash needs, including working capital needs, capital expenditures and contractual obligations for at least 12 months from the issuance date of the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Percentage of Sales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2019 vs 2018 % Change in</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7"/>
              </w:rPr>
              <w:t>Absolute Values</w:t>
            </w:r>
          </w:p>
        </w:tc>
        <w:tc>
          <w:tcPr>
            <w:tcW w:w="0" w:type="dxa"/>
            <w:vAlign w:val="bottom"/>
          </w:tcPr>
          <w:p>
            <w:pPr>
              <w:spacing w:after="0"/>
              <w:rPr>
                <w:sz w:val="1"/>
                <w:szCs w:val="1"/>
                <w:color w:val="auto"/>
              </w:rPr>
            </w:pPr>
          </w:p>
        </w:tc>
      </w:tr>
      <w:tr>
        <w:trPr>
          <w:trHeight w:val="144"/>
        </w:trPr>
        <w:tc>
          <w:tcPr>
            <w:tcW w:w="5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6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Sales Growth by Business Unit</w:t>
            </w: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6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56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6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Increase</w:t>
            </w:r>
          </w:p>
        </w:tc>
        <w:tc>
          <w:tcPr>
            <w:tcW w:w="14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56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4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25.3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8"/>
                <w:szCs w:val="18"/>
                <w:color w:val="auto"/>
              </w:rPr>
              <w:t>12.8</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38.1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5620" w:right="2620" w:hanging="5612"/>
        <w:spacing w:after="0" w:line="559"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right="6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45405" cy="2452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5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5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2019:</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clariti and MyDay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clariti and MyDay lenses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Non-single-use spheres decline is primarily due to negative impact of foreign exchange rates offset by higher Biofinity sales.</w:t>
      </w:r>
    </w:p>
    <w:p>
      <w:pPr>
        <w:spacing w:after="0" w:line="171"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 approximately 2% of net sales in first quarter of fiscal 2019 compared to 3% in prior year period</w:t>
      </w:r>
    </w:p>
    <w:p>
      <w:pPr>
        <w:spacing w:after="0" w:line="116"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sales of silicone hydrogel products were partially offset by lower sales of older hydrogel products. Total silicone hydrogel products grew 12% in first quarter of fiscal 2019, representing 71% of net sales compared to 67% in the prior year period.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exchange rates negatively impacted sales by $13.3 million in the first quarter of fiscal 2019, primarily attributable to the Euro and British Pound</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Sales growth was primarily driven by increases in the volume of lenses sold. Average realized prices by product did not materially influence sales growth</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0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0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CooperVision's regional growth was primarily attributable to market gains of silicone hydrogel contact lenses. Refer to CooperVision Net Sales by Category above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procedures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45405" cy="2452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7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and surgical procedures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720" w:type="dxa"/>
            <w:vAlign w:val="bottom"/>
            <w:gridSpan w:val="3"/>
          </w:tcPr>
          <w:p>
            <w:pPr>
              <w:ind w:left="40"/>
              <w:spacing w:after="0"/>
              <w:rPr>
                <w:sz w:val="20"/>
                <w:szCs w:val="20"/>
                <w:color w:val="auto"/>
              </w:rPr>
            </w:pPr>
            <w:r>
              <w:rPr>
                <w:rFonts w:ascii="Arial" w:cs="Arial" w:eastAsia="Arial" w:hAnsi="Arial"/>
                <w:sz w:val="18"/>
                <w:szCs w:val="18"/>
                <w:color w:val="auto"/>
              </w:rPr>
              <w:t>Fertility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2019:</w:t>
      </w:r>
    </w:p>
    <w:p>
      <w:pPr>
        <w:spacing w:after="0" w:line="171" w:lineRule="exact"/>
        <w:rPr>
          <w:sz w:val="20"/>
          <w:szCs w:val="20"/>
          <w:color w:val="auto"/>
        </w:rPr>
      </w:pPr>
    </w:p>
    <w:p>
      <w:pPr>
        <w:ind w:left="340" w:right="5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and surgical procedures increased compared to prior year periods due to continued growth in PARAGARD and surgical products, primarily Uterine Manipulators and recently acquired products of Incisive Surgical.</w:t>
      </w:r>
    </w:p>
    <w:p>
      <w:pPr>
        <w:spacing w:after="0" w:line="116"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primarily due to increased sales of IVF consumables, IVF equipment and LifeGlobal products, partially offset by a decrease in diagnostics revenue</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 growth and product mix positively impacted sales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CooperSurgical</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CooperVision's gross margin remained relatively flat in first quarter of fiscal 2019 compared to fiscal 2018 due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sales of higher margin products including Biofinity;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offset by the unfavorable impact to revenue from exchange rate fluctuations, primarily attributable to the Euro and British Pound; and product mix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increase in gross margin in first quarter of fiscal 2019 compared to fiscal 2018 was primarily due to:</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sales of PARAGARD IUD product and inclusion of LifeGlobal products with higher gross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partially offset by $4.2 million of acquisition, integration and manufacturing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quarter of fiscal 2018 included $16.9 million of PARAGARD inventory step-up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54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36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4"/>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68.7</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250.0</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CooperVision's SGA increase in the first quarter of fiscal 2019 compared to fiscal 2018 was due to investments to support our long-term objectives, including increased headcount in SGA, investments in information technology and higher distribution expenses to support revenue growth. CooperVision's SGA in the three months ended January 31, 2019 included $2.4 million of integration and third-party consulting costs.</w:t>
      </w:r>
    </w:p>
    <w:p>
      <w:pPr>
        <w:spacing w:after="0" w:line="12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increases in CooperSurgical's SGA in the first quarter of fiscal 2019 compared to fiscal 2018 in absolute dollars and as a percentage of sales were primarily due to higher PARAGARD marketing expenses and sales headcount investment to support growth. CooperSurgical's SGA in the three months ended January 31, 2019, included $8.4 million of primarily acquisition and integration expenses of acquired companies, as well as third-party consulting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SGA remained relatively flat in first quarter of fiscal 2019 compared to fiscal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rPr>
              <w:t>% Net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rPr>
              <w:t>% 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08"/>
              <w:spacing w:after="0" w:line="158" w:lineRule="exact"/>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08"/>
              <w:spacing w:after="0" w:line="158" w:lineRule="exact"/>
              <w:rPr>
                <w:sz w:val="20"/>
                <w:szCs w:val="20"/>
                <w:color w:val="auto"/>
              </w:rPr>
            </w:pPr>
            <w:r>
              <w:rPr>
                <w:rFonts w:ascii="Arial" w:cs="Arial" w:eastAsia="Arial" w:hAnsi="Arial"/>
                <w:sz w:val="14"/>
                <w:szCs w:val="14"/>
                <w:b w:val="1"/>
                <w:bCs w:val="1"/>
                <w:color w:val="auto"/>
                <w:w w:val="87"/>
              </w:rPr>
              <w:t>Sales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2019:</w:t>
      </w:r>
    </w:p>
    <w:p>
      <w:pPr>
        <w:spacing w:after="0" w:line="171" w:lineRule="exact"/>
        <w:rPr>
          <w:sz w:val="20"/>
          <w:szCs w:val="20"/>
          <w:color w:val="auto"/>
        </w:rPr>
      </w:pPr>
    </w:p>
    <w:p>
      <w:pPr>
        <w:ind w:left="660" w:right="3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CooperVision's R&amp;D increased mainly due to increased costs from acquisitions and clinical studies. As a percentage of sales, R&amp;D expense remained flat. CooperVision's R&amp;D activities are primarily focused on the development of contact lenses, manufacturing technology and process enhancements.</w:t>
      </w:r>
    </w:p>
    <w:p>
      <w:pPr>
        <w:spacing w:after="0" w:line="127" w:lineRule="exact"/>
        <w:rPr>
          <w:rFonts w:ascii="Arial" w:cs="Arial" w:eastAsia="Arial" w:hAnsi="Arial"/>
          <w:sz w:val="18"/>
          <w:szCs w:val="18"/>
          <w:color w:val="auto"/>
        </w:rPr>
      </w:pPr>
    </w:p>
    <w:p>
      <w:pPr>
        <w:ind w:left="660" w:right="50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increase in CooperSurgical's R&amp;D were primarily due to acquisitions, increased investment and activities in developing new products and services and upgrades of existing products. As a percentage of sales, R&amp;D expense remained flat. CooperSurgical's R&amp;D activities include diagnostics, IVF product development and the design and upgrade of surgical procedure devices.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Net</w:t>
            </w:r>
          </w:p>
        </w:tc>
        <w:tc>
          <w:tcPr>
            <w:tcW w:w="13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36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26.1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CooperVision's amortization expense remained flat in first quarter of fiscal 2019 compared to fiscal 2018. CooperSurgical's increase in amortization expense in the first quarter of fiscal 2019 compared to fiscal 2018 was primarily due to amortization of intangible assets acquired in recent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b w:val="1"/>
                <w:bCs w:val="1"/>
                <w:color w:val="auto"/>
              </w:rPr>
              <w:t>% Net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4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368"/>
              <w:spacing w:after="0" w:line="158" w:lineRule="exact"/>
              <w:rPr>
                <w:sz w:val="20"/>
                <w:szCs w:val="20"/>
                <w:color w:val="auto"/>
              </w:rPr>
            </w:pPr>
            <w:r>
              <w:rPr>
                <w:rFonts w:ascii="Arial" w:cs="Arial" w:eastAsia="Arial" w:hAnsi="Arial"/>
                <w:sz w:val="14"/>
                <w:szCs w:val="14"/>
                <w:b w:val="1"/>
                <w:bCs w:val="1"/>
                <w:color w:val="auto"/>
                <w:w w:val="87"/>
              </w:rPr>
              <w:t>Sales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42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5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110.9</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CooperVision operating income remained flat as a percentage of net sales and increased in absolute dollars due to improved sales of higher margin products, including Biofinity, partially offset by the negative impact of foreign exchange rates. CooperSurgical operating income increased due to increase in sales including higher margin products and recent acquisitions. CooperSurgical operating income in the first quarter of fiscal 2018 included $16.9 million of PARAGARD inventory step up charges. On a consolidated basis, operating income increased in the first quarter of fiscal 2019 compared to fiscal 2018, in absolute dollars and as a percentage of net sales was primarily due to the increase in consolidated net sales.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 Net</w:t>
            </w: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484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Sales</w:t>
            </w: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w:t>
            </w: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  $</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interest expense was primarily due to lower average debt balances as a result of repayments, partially offset by higher interest rates.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2"/>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21"/>
                <w:szCs w:val="21"/>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gain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Income (loss), net</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 primarily resulted from the revaluation and settlement of foreign currencies-denominated balances.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effective tax rates were a benefit of 10.0% and expense of 263.7% for the first quarters of fiscal 2019 and fiscal 2018, respectively. The decrease in our effective tax rate for the first quarter of fiscal 2019 compared to the first quarter of fiscal 2018 was primarily due to the provisional charge of $202.0 million relating to the 2017 Act that was recorded in the first quarter of fiscal 2018. Our effective tax rate for the first quarter of fiscal 2019 was lower than the U.S. statutory rate because of discrete tax benefits which were partially offset by a less favorable mix of income from our foreign jurisdictions with lower tax rates. Total discrete tax benefits for the first quarter of fiscal 2019 were $18.7 million primarily relating to settlement of tax audits, revisions to the provisional tax charges relating to the 2017 Act, and excess tax benefits from share-based compensation. Our effective tax rate for the first quarter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Cooper has several share-based compensation plans that are described in our Annual Report on Form 10-K for the fiscal year ended October 31, 2018. The compensation expense and related income tax benefit recognized in our consolidated condensed financial statements for share-based awards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4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41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4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31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cash flow was $101.8 million compared to $26.2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$79.2 million compared to $51.4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payments for acquisitions and others, of $50.0 million, compared to $1,193.2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31, 2019</w:t>
            </w:r>
          </w:p>
        </w:tc>
        <w:tc>
          <w:tcPr>
            <w:tcW w:w="340" w:type="dxa"/>
            <w:vAlign w:val="bottom"/>
          </w:tcPr>
          <w:p>
            <w:pPr>
              <w:spacing w:after="0"/>
              <w:rPr>
                <w:sz w:val="14"/>
                <w:szCs w:val="14"/>
                <w:color w:val="auto"/>
              </w:rPr>
            </w:pPr>
          </w:p>
        </w:tc>
        <w:tc>
          <w:tcPr>
            <w:tcW w:w="1880" w:type="dxa"/>
            <w:vAlign w:val="bottom"/>
          </w:tcPr>
          <w:p>
            <w:pPr>
              <w:jc w:val="right"/>
              <w:ind w:right="51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77.7</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6,298.6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6,112.8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554.4</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2,132.4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2,022.8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3,307.8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0.62:1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0.61:1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decrease in working capital at January 31, 2019 from the end of fiscal 2018 was primarily due to increase in short-term debt ($408.4 million), primarily from the $400 million 2018 Term Loan Agreement entered into on November 1, 2018. This was partially offset by increase in cash ($68.9 million), an increase accounts receivables ($15.0 million) from increased revenue, an increase in inventories ($17.4 million) and a decrease in accounts payable ($16.8 million).</w:t>
      </w:r>
    </w:p>
    <w:p>
      <w:pPr>
        <w:spacing w:after="0" w:line="13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January 31, 2019, our inventory months on hand were 7.0 compared to 6.3 at October 31, 2018. The $17.4 million increase in inventories was primarily due to increase in finished goods and raw materials to support product launches and production levels. Our days sales outstanding (DSO) were 56 days at January 31, 2019, compared to 53 days at October 31, 2018 and 57 days at January 31, 2018. The increase in DSO was primarily due to higher accounts receivable from increased revenue.</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Accounts Receivable Factoring Program - 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See Note 1. General of the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Cash provided by operating activities increased by $75.6 million from $26.2 million in the first quarter of fiscal 2018 to $101.8 million in the first quarter of fiscal 2019. This increase in cash flow provided by operating activities primarily consists of an increase in net income of $225.7 million from a net loss of $122.5 million in the first quarter of fiscal 2018 to $103.2 million in the first quarter of fiscal 2019 and an increase of $123.7 million in net cash flow from changes in operating capital, from $177.0 million in the first quarter of fiscal 2018 to $53.3 million in the first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quarter of fiscal 2019. This increase is partially offset by a decrease of $276.0 million in non-cash items, from $259.1 million in the first quarter of fiscal 2018 to $(16.9) million in the first quarter of fiscal 2019.</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net income of $225.7 million is primarily due to a $202.0 million provisional tax expense charge related to the 2017 Act which unfavorably impacted the first quarter of fiscal 2018.</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$123.7 million increase in the net cash flow from changes in operating capital compared to the prior year period is due to a $93.3 million increase in the net changes in receivables from increased revenue, a $61.8 million increase in the net changes in prepayments and other assets due to a $42.0 million payment to the U.K. Tax Authorities in prior year period, and a $11.9 million increase in the net changes in accounts payable, partially offset by a $47.8 million decrease in net changes in accrued liabilities.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$276.0 million decrease from non-cash items compared to the prior year period is due to a $16.8 million release of a fair value adjustment to inventory acquired mainly from PARAGARD in the prior year period and a decrease of $249.8 million driven by net changes in long term tax liabilities, deferred taxes and pension.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used in investing activities decreased by $1,115.4 million to $129.2 million in the first quarter of fiscal 2019 from $1,244.6 million in first quarter of fiscal 2018. This is primarily due to a decrease in payments made for acquisitions in the first quarter of fiscal 2019 compared to the prior year period, largely due to the acquisition of PARAGARD at $1.1 billion in first quarter of fiscal 2018. The decrease is partially offset by an increase of $27.8 million in capital expenditures primarily used to invest in the expansion of our manufacturing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Cash provided by financing activities decreased by $1,124.2 million to $93.2 million in the first quarter of fiscal 2019. The decrease was driven by a $1,526 million decrease of net proceeds from long-term debt primarily due to additional debt taken on to fund the PARAGARD acquisition in prior year period. The decrease is partially offset by a $402.7 million increase in short-term notes payable, primarily due to $400 million short term loan taken on November 1, 2018. $6.1 million share repurchases were made in the first quarter of fiscal 2019 compared to nil in the first quarter of fiscal 2018.</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the 2018 Term Loan Agreement, the 2017 Term Loan Agreement and the 2016 Credit Agreement, we are required to maintain an Interest Coverage Ratio of at least 3.00 to 1.00, and a Total Leverage Ratio of no higher than 3.75 to 1.00.</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January 31, 2019, we had $859.5 million available under the 2016 Credit Agreement. We are in compliance with our financial covenants including the Interest Coverage Ratio at 10.70 to 1.00 and the Total Leverage Ratio at 2.25 to 1.00 for the 2018 Term Loan Agreement, the 2017 Term Loan Agreement and the 2016 Credit Agreement.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36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first quarter of fiscal 2019, we repurchased 24.5 thousand shares of our common stock for $6.1 million at an average purchase price of $248.70 per share. We did not repurchase shares during the first quarter of fiscal 2018. At January 31, 2019, we had remaining authorization to repurchase $557.4 million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Information regarding estimates and critical accounting policies is included in Management's Discussion and Analysis on Form 10-K for the fiscal year ended October 31, 2018. There have been no material changes in our policies from those previously discussed in our Form 10-K for the fiscal year October 31, 2018, with the exception of our critical accounting policies related to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effective November 1, 2018. See Note 2. Revenue Recognition of the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General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 rate.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January 31, 2019 and October 31, 2018.</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January 31, 2019, we had $400.0 million outstanding under the 2018 Term Loan Agreement.</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 At January 31, 2019, we had $1.425 billion outstanding under the 2017 Term Loan Agreement.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with KeyBank as administrative agent. The agreement provides for a multicurrency revolving credit facility in an aggregate principal amount of $1.0 billion (the 2016 Revolving Credit Facility) and a term loan facility in the aggregate principal amount of $830.0 million (the 2016 Term Loan Facility). The 2016 Credit Agreement replaced our previous credit agreement and funds from the 2016 Term Loan Facility were used to repay the outstanding amounts under the previous credit agreement, to partially repay our other outstanding term loans and for general corporate purposes. At January 31, 2019, we had $125.0 million outstanding under the 2016 Term Loan Facility and $859.5 million available under the 2016 Revolving Credit Facility.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$5.3 million based on average debt outstanding for the first fiscal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Financial Statements for additional information.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391"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first quarter of fiscal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9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Legal fees are expensed as incurred.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2018. There have been no material changes in our risk factors from those previously discussed in our Form 10-K for the fiscal year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 activity during the three-month period ended January 31, 2019, was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11/1/18 - 11/30/18</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563,500,000</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12/1/18 - 12/31/18</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22"/>
              <w:spacing w:after="0"/>
              <w:rPr>
                <w:sz w:val="20"/>
                <w:szCs w:val="20"/>
                <w:color w:val="auto"/>
              </w:rPr>
            </w:pPr>
            <w:r>
              <w:rPr>
                <w:rFonts w:ascii="Arial" w:cs="Arial" w:eastAsia="Arial" w:hAnsi="Arial"/>
                <w:sz w:val="18"/>
                <w:szCs w:val="18"/>
                <w:color w:val="auto"/>
              </w:rPr>
              <w:t>563,500,000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01/1/19 - 01/31/19</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24,500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248.70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24,500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557,400,000</w:t>
            </w:r>
          </w:p>
        </w:tc>
        <w:tc>
          <w:tcPr>
            <w:tcW w:w="0" w:type="dxa"/>
            <w:vAlign w:val="bottom"/>
          </w:tcPr>
          <w:p>
            <w:pPr>
              <w:spacing w:after="0"/>
              <w:rPr>
                <w:sz w:val="1"/>
                <w:szCs w:val="1"/>
                <w:color w:val="auto"/>
              </w:rPr>
            </w:pPr>
          </w:p>
        </w:tc>
      </w:tr>
      <w:tr>
        <w:trPr>
          <w:trHeight w:val="257"/>
        </w:trPr>
        <w:tc>
          <w:tcPr>
            <w:tcW w:w="3760" w:type="dxa"/>
            <w:vAlign w:val="bottom"/>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24,500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248.70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transactions described in the table above represent the repurchase of the Company’s common stock on the New York Stock Exchange as part of the share repurchase program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2019, approximately $557.4 million remained authorized under the 2012 Share Repurchase Program.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780" w:type="dxa"/>
            <w:vAlign w:val="bottom"/>
            <w:gridSpan w:val="7"/>
          </w:tcPr>
          <w:p>
            <w:pPr>
              <w:ind w:left="108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6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6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9620" w:type="dxa"/>
            <w:vAlign w:val="bottom"/>
            <w:gridSpan w:val="9"/>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Amendment No. 1 to the Revolving Credit and Term Loan Agreement dated March 1, 2016, entered on January 31, 2019, among The</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Cooper Companies, Inc., CooperVision International Holding Company, LP, CooperSurgical Netherlands B.V., CooperVision</w:t>
              </w:r>
            </w:hyperlink>
          </w:p>
        </w:tc>
        <w:tc>
          <w:tcPr>
            <w:tcW w:w="58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Manufacturing Costa Rica, S.R.L., the lenders from time to time party thereto and KeyBank National Association, as administrative</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41">
              <w:r>
                <w:rPr>
                  <w:rFonts w:ascii="Arial" w:cs="Arial" w:eastAsia="Arial" w:hAnsi="Arial"/>
                  <w:sz w:val="18"/>
                  <w:szCs w:val="18"/>
                  <w:color w:val="0000FF"/>
                  <w:w w:val="84"/>
                </w:rPr>
                <w:t>agent</w:t>
              </w:r>
            </w:hyperlink>
          </w:p>
        </w:tc>
        <w:tc>
          <w:tcPr>
            <w:tcW w:w="9100" w:type="dxa"/>
            <w:vAlign w:val="bottom"/>
            <w:tcBorders>
              <w:top w:val="single" w:sz="8" w:color="0000FF"/>
            </w:tcBorders>
            <w:gridSpan w:val="7"/>
          </w:tcPr>
          <w:p>
            <w:pPr>
              <w:spacing w:after="0"/>
              <w:rPr>
                <w:sz w:val="17"/>
                <w:szCs w:val="17"/>
                <w:color w:val="auto"/>
              </w:rPr>
            </w:pPr>
          </w:p>
        </w:tc>
        <w:tc>
          <w:tcPr>
            <w:tcW w:w="120" w:type="dxa"/>
            <w:vAlign w:val="bottom"/>
          </w:tcPr>
          <w:p>
            <w:pPr>
              <w:spacing w:after="0"/>
              <w:rPr>
                <w:sz w:val="17"/>
                <w:szCs w:val="17"/>
                <w:color w:val="auto"/>
              </w:rPr>
            </w:pPr>
          </w:p>
        </w:tc>
      </w:tr>
      <w:tr>
        <w:trPr>
          <w:trHeight w:val="466"/>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Certification of the Chief Executive Officer, pursuant to Rule 13a-14(a) under the Securities Exchange Act of 1934</w:t>
              </w:r>
            </w:hyperlink>
          </w:p>
        </w:tc>
        <w:tc>
          <w:tcPr>
            <w:tcW w:w="1320" w:type="dxa"/>
            <w:vAlign w:val="bottom"/>
            <w:gridSpan w:val="3"/>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the Chief Financial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Certification of the Chief Executive Officer, pursuant to 18 U.S.C. Section 1350</w:t>
              </w:r>
            </w:hyperlink>
          </w:p>
        </w:tc>
        <w:tc>
          <w:tcPr>
            <w:tcW w:w="2460" w:type="dxa"/>
            <w:vAlign w:val="bottom"/>
            <w:tcBorders>
              <w:top w:val="single" w:sz="8" w:color="0000FF"/>
            </w:tcBorders>
          </w:tcPr>
          <w:p>
            <w:pPr>
              <w:spacing w:after="0"/>
              <w:rPr>
                <w:sz w:val="24"/>
                <w:szCs w:val="24"/>
                <w:color w:val="auto"/>
              </w:rPr>
            </w:pPr>
          </w:p>
        </w:tc>
        <w:tc>
          <w:tcPr>
            <w:tcW w:w="1380" w:type="dxa"/>
            <w:vAlign w:val="bottom"/>
            <w:gridSpan w:val="4"/>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the Chief Financial Officer, pursuant to 18 U.S.C. Section 1350</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gridSpan w:val="3"/>
            <w:shd w:val="clear" w:color="auto" w:fill="0000FF"/>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r>
      <w:tr>
        <w:trPr>
          <w:trHeight w:val="506"/>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w w:val="93"/>
              </w:rPr>
              <w:t>The following materials from the Company's Quarterly Report on Form 10-Q for the three months period ended January 31, 2019,</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w w:val="93"/>
              </w:rPr>
              <w:t>formatted in Extensible Business Reporting Language (XBRL): (i) Consolidated Statements of Income for the three months ended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w w:val="91"/>
              </w:rPr>
              <w:t>January 31, 2019 and 2018, (ii) Consolidated Statements of Comprehensive Income (Loss) for the three months ended January 31,</w:t>
            </w:r>
          </w:p>
        </w:tc>
      </w:tr>
    </w:tbl>
    <w:p>
      <w:pPr>
        <w:ind w:left="1640"/>
        <w:spacing w:after="0" w:line="255" w:lineRule="auto"/>
        <w:rPr>
          <w:sz w:val="20"/>
          <w:szCs w:val="20"/>
          <w:color w:val="auto"/>
        </w:rPr>
      </w:pPr>
      <w:r>
        <w:rPr>
          <w:rFonts w:ascii="Arial" w:cs="Arial" w:eastAsia="Arial" w:hAnsi="Arial"/>
          <w:sz w:val="18"/>
          <w:szCs w:val="18"/>
          <w:color w:val="auto"/>
        </w:rPr>
        <w:t>2019 and 2018, (iii) Consolidated Condensed Balance Sheets at January 31, 2019 and October 31, 2018, (iv) Consolidated Condensed Statements of Cash Flows for the three months ended January 31, 2019 and 2018 and (v) related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39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Financial Officer &amp; Treasurer</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Accounting Officer &amp; Senior Vice President, Finance &amp; Tax (Principal</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391"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JOINDER AND AMENDMENT NO. 1 TO REVOLVING CREDIT AND TERM LOAN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This AMENDMENT NO. 1 TO REVOLVING CREDIT AND TERM LOAN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January 31, 2019 among (i) THE COOPER COMPANIES,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(ii) COOPERVISION INTERNATIONAL HOLDING COMPANY, LP, an entity organized under the laws of England and Wales and registered in Barbados as an External Company under the laws of Barbados (“</w:t>
      </w:r>
      <w:r>
        <w:rPr>
          <w:rFonts w:ascii="Arial" w:cs="Arial" w:eastAsia="Arial" w:hAnsi="Arial"/>
          <w:sz w:val="19"/>
          <w:szCs w:val="19"/>
          <w:u w:val="single" w:color="auto"/>
          <w:color w:val="auto"/>
        </w:rPr>
        <w:t>CooperVision International</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Existing Borrowers</w:t>
      </w:r>
      <w:r>
        <w:rPr>
          <w:rFonts w:ascii="Arial" w:cs="Arial" w:eastAsia="Arial" w:hAnsi="Arial"/>
          <w:sz w:val="19"/>
          <w:szCs w:val="19"/>
          <w:color w:val="auto"/>
        </w:rPr>
        <w:t>”), (iii) COOPERSURGICAL NETHERLANDS B.V., a Netherlands private company with limited liability (</w:t>
      </w:r>
      <w:r>
        <w:rPr>
          <w:rFonts w:ascii="Arial" w:cs="Arial" w:eastAsia="Arial" w:hAnsi="Arial"/>
          <w:sz w:val="19"/>
          <w:szCs w:val="19"/>
          <w:i w:val="1"/>
          <w:iCs w:val="1"/>
          <w:color w:val="auto"/>
        </w:rPr>
        <w:t>besloten vennootschap met beperkte</w:t>
      </w:r>
      <w:r>
        <w:rPr>
          <w:rFonts w:ascii="Arial" w:cs="Arial" w:eastAsia="Arial" w:hAnsi="Arial"/>
          <w:sz w:val="19"/>
          <w:szCs w:val="19"/>
          <w:color w:val="auto"/>
        </w:rPr>
        <w:t xml:space="preserve"> </w:t>
      </w:r>
      <w:r>
        <w:rPr>
          <w:rFonts w:ascii="Arial" w:cs="Arial" w:eastAsia="Arial" w:hAnsi="Arial"/>
          <w:sz w:val="19"/>
          <w:szCs w:val="19"/>
          <w:i w:val="1"/>
          <w:iCs w:val="1"/>
          <w:color w:val="auto"/>
        </w:rPr>
        <w:t>aansprakelijkheid</w:t>
      </w:r>
      <w:r>
        <w:rPr>
          <w:rFonts w:ascii="Arial" w:cs="Arial" w:eastAsia="Arial" w:hAnsi="Arial"/>
          <w:sz w:val="19"/>
          <w:szCs w:val="19"/>
          <w:color w:val="auto"/>
        </w:rPr>
        <w:t>) (“</w:t>
      </w:r>
      <w:r>
        <w:rPr>
          <w:rFonts w:ascii="Arial" w:cs="Arial" w:eastAsia="Arial" w:hAnsi="Arial"/>
          <w:sz w:val="19"/>
          <w:szCs w:val="19"/>
          <w:u w:val="single" w:color="auto"/>
          <w:color w:val="auto"/>
        </w:rPr>
        <w:t>Cooper Netherlands</w:t>
      </w:r>
      <w:r>
        <w:rPr>
          <w:rFonts w:ascii="Arial" w:cs="Arial" w:eastAsia="Arial" w:hAnsi="Arial"/>
          <w:sz w:val="19"/>
          <w:szCs w:val="19"/>
          <w:color w:val="auto"/>
        </w:rPr>
        <w:t>”), (iv) COOPERVISION MANUFACTURING COSTA RICA, S.R.L., a Costa Rican limited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w:t>
      </w:r>
      <w:r>
        <w:rPr>
          <w:rFonts w:ascii="Arial" w:cs="Arial" w:eastAsia="Arial" w:hAnsi="Arial"/>
          <w:sz w:val="19"/>
          <w:szCs w:val="19"/>
          <w:u w:val="single" w:color="auto"/>
          <w:color w:val="auto"/>
        </w:rPr>
        <w:t>Cooper Costa Rica</w:t>
      </w:r>
      <w:r>
        <w:rPr>
          <w:rFonts w:ascii="Arial" w:cs="Arial" w:eastAsia="Arial" w:hAnsi="Arial"/>
          <w:sz w:val="19"/>
          <w:szCs w:val="19"/>
          <w:color w:val="auto"/>
        </w:rPr>
        <w:t>”), (v) the Lenders (defined below) executing signatures page hereto, and (vi) KEYBANK NATIONAL ASSOCIATION, as the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50" w:lineRule="auto"/>
        <w:tabs>
          <w:tab w:leader="none" w:pos="1089"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WHEREAS, the Existing Borrowers, the Administrative Agent and the lenders party thereto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are parties to the Revolving Credit and Term Loan Agreement, dated as of March 1, 2016 (as amended, restated, amended and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firstLine="656"/>
        <w:spacing w:after="0" w:line="260" w:lineRule="auto"/>
        <w:tabs>
          <w:tab w:leader="none" w:pos="1116"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WHEREAS, the Existing Borrowers have requested that the Credit Agreement be modified to allow for additional Revolving Borrowers thereunder; and</w:t>
      </w:r>
    </w:p>
    <w:p>
      <w:pPr>
        <w:spacing w:after="0" w:line="176" w:lineRule="exact"/>
        <w:rPr>
          <w:rFonts w:ascii="Arial" w:cs="Arial" w:eastAsia="Arial" w:hAnsi="Arial"/>
          <w:sz w:val="20"/>
          <w:szCs w:val="20"/>
          <w:color w:val="auto"/>
        </w:rPr>
      </w:pPr>
    </w:p>
    <w:p>
      <w:pPr>
        <w:ind w:firstLine="656"/>
        <w:spacing w:after="0" w:line="260" w:lineRule="auto"/>
        <w:tabs>
          <w:tab w:leader="none" w:pos="1127"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WHEREAS, in connection with the foregoing, the Borrowers, the Administrative Agent and the Lenders party hereto, which constitute the Required Lenders, desire to amend the Credit Agreement to modify certain provisions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consideration of the premises and mutual covenants herein and for other valuable consideration, the Borrowers, the Administrative Agent and the Lenders party hereto agree as follows: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121" w:right="239" w:bottom="1440" w:gutter="0" w:footer="0" w:header="0"/>
        </w:sectPr>
      </w:pPr>
    </w:p>
    <w:bookmarkStart w:id="41" w:name="page42"/>
    <w:bookmarkEnd w:id="41"/>
    <w:p>
      <w:pPr>
        <w:ind w:right="20" w:firstLine="648"/>
        <w:spacing w:after="0" w:line="28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herein, each capitalized term used in this Amendment and not defined herein shall be defined in accordance with the Credit Agreement.</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 to Section 1.01 of the Credit Agreement</w:t>
      </w:r>
      <w:r>
        <w:rPr>
          <w:rFonts w:ascii="Arial" w:cs="Arial" w:eastAsia="Arial" w:hAnsi="Arial"/>
          <w:sz w:val="20"/>
          <w:szCs w:val="20"/>
          <w:color w:val="auto"/>
        </w:rPr>
        <w:t>. Section 1.01 of the Credit Agreement is hereby amended to add the following new definitions thereto in appropriate alphabetical order:</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w:t>
      </w:r>
      <w:r>
        <w:rPr>
          <w:rFonts w:ascii="Arial" w:cs="Arial" w:eastAsia="Arial" w:hAnsi="Arial"/>
          <w:sz w:val="20"/>
          <w:szCs w:val="20"/>
          <w:color w:val="auto"/>
        </w:rPr>
        <w:t>” means any Revolving Borrower that becomes a Borrower hereunder on or after the Amendment No. 1 Effective Date pursuant to Section 2.21 hereof.</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 Joinder Agreement</w:t>
      </w:r>
      <w:r>
        <w:rPr>
          <w:rFonts w:ascii="Arial" w:cs="Arial" w:eastAsia="Arial" w:hAnsi="Arial"/>
          <w:sz w:val="20"/>
          <w:szCs w:val="20"/>
          <w:color w:val="auto"/>
        </w:rPr>
        <w:t>” means a joinder to this Agreement executed pursuant to Section 2.21 hereof in a form reasonably acceptable to the Administrative Agent and executed by the Administrative Agent, the Company and the Additional Revolving Borrower(s) becoming a party to this Agreement.</w:t>
      </w:r>
    </w:p>
    <w:p>
      <w:pPr>
        <w:spacing w:after="0" w:line="186"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means Joinder and Amendment No. 1 to Revolving Credit and Term Loan Agreement among the Borrowers, the Administrative Agent and the Lenders party thereto dated as of the Amendment No. 1 Effective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1 Effective Date</w:t>
      </w:r>
      <w:r>
        <w:rPr>
          <w:rFonts w:ascii="Arial" w:cs="Arial" w:eastAsia="Arial" w:hAnsi="Arial"/>
          <w:sz w:val="20"/>
          <w:szCs w:val="20"/>
          <w:color w:val="auto"/>
        </w:rPr>
        <w:t>” means January 31, 2019.</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Cooper Costa Rica</w:t>
      </w:r>
      <w:r>
        <w:rPr>
          <w:rFonts w:ascii="Arial" w:cs="Arial" w:eastAsia="Arial" w:hAnsi="Arial"/>
          <w:sz w:val="19"/>
          <w:szCs w:val="19"/>
          <w:color w:val="auto"/>
        </w:rPr>
        <w:t>” means CooperVision Manufacturing Costa Rica, S.R.L., a Costa Rican limited liability company.</w:t>
      </w:r>
    </w:p>
    <w:p>
      <w:pPr>
        <w:spacing w:after="0" w:line="22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Cooper Netherlands</w:t>
      </w:r>
      <w:r>
        <w:rPr>
          <w:rFonts w:ascii="Arial" w:cs="Arial" w:eastAsia="Arial" w:hAnsi="Arial"/>
          <w:sz w:val="20"/>
          <w:szCs w:val="20"/>
          <w:color w:val="auto"/>
        </w:rPr>
        <w:t>” means CooperSurgical Netherlands B.V., a Netherlands private company with limited liability (</w:t>
      </w:r>
      <w:r>
        <w:rPr>
          <w:rFonts w:ascii="Arial" w:cs="Arial" w:eastAsia="Arial" w:hAnsi="Arial"/>
          <w:sz w:val="20"/>
          <w:szCs w:val="20"/>
          <w:i w:val="1"/>
          <w:iCs w:val="1"/>
          <w:color w:val="auto"/>
        </w:rPr>
        <w:t>besloten</w:t>
      </w:r>
      <w:r>
        <w:rPr>
          <w:rFonts w:ascii="Arial" w:cs="Arial" w:eastAsia="Arial" w:hAnsi="Arial"/>
          <w:sz w:val="20"/>
          <w:szCs w:val="20"/>
          <w:color w:val="auto"/>
        </w:rPr>
        <w:t xml:space="preserve"> </w:t>
      </w:r>
      <w:r>
        <w:rPr>
          <w:rFonts w:ascii="Arial" w:cs="Arial" w:eastAsia="Arial" w:hAnsi="Arial"/>
          <w:sz w:val="20"/>
          <w:szCs w:val="20"/>
          <w:i w:val="1"/>
          <w:iCs w:val="1"/>
          <w:color w:val="auto"/>
        </w:rPr>
        <w:t>vennootschap met beperkte aansprakelijkheid</w:t>
      </w:r>
      <w:r>
        <w:rPr>
          <w:rFonts w:ascii="Arial" w:cs="Arial" w:eastAsia="Arial" w:hAnsi="Arial"/>
          <w:sz w:val="20"/>
          <w:szCs w:val="20"/>
          <w:color w:val="auto"/>
        </w:rPr>
        <w: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Amendment to Section 1.01 of the Credit Agreement</w:t>
      </w:r>
      <w:r>
        <w:rPr>
          <w:rFonts w:ascii="Arial" w:cs="Arial" w:eastAsia="Arial" w:hAnsi="Arial"/>
          <w:sz w:val="20"/>
          <w:szCs w:val="20"/>
          <w:color w:val="auto"/>
        </w:rPr>
        <w:t>. Section 1.01 of the Credit Agreement is hereby amended to amend and restate the definition of “Revolving Borrowers” in its entirety as follows:</w:t>
      </w:r>
    </w:p>
    <w:p>
      <w:pPr>
        <w:spacing w:after="0" w:line="177" w:lineRule="exact"/>
        <w:rPr>
          <w:sz w:val="20"/>
          <w:szCs w:val="20"/>
          <w:color w:val="auto"/>
        </w:rPr>
      </w:pPr>
    </w:p>
    <w:p>
      <w:pPr>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Borrowers</w:t>
      </w:r>
      <w:r>
        <w:rPr>
          <w:rFonts w:ascii="Arial" w:cs="Arial" w:eastAsia="Arial" w:hAnsi="Arial"/>
          <w:sz w:val="18"/>
          <w:szCs w:val="18"/>
          <w:color w:val="auto"/>
        </w:rPr>
        <w:t>” means, collectively, (a) the Company, (b) CooperVision International, (c) Cooper Netherlands, (d) Cooper Costa Rica and (e) any other Additional Revolving Borrower, and “</w:t>
      </w:r>
      <w:r>
        <w:rPr>
          <w:rFonts w:ascii="Arial" w:cs="Arial" w:eastAsia="Arial" w:hAnsi="Arial"/>
          <w:sz w:val="18"/>
          <w:szCs w:val="18"/>
          <w:b w:val="1"/>
          <w:bCs w:val="1"/>
          <w:i w:val="1"/>
          <w:iCs w:val="1"/>
          <w:color w:val="auto"/>
        </w:rPr>
        <w:t>Revolving Borrower</w:t>
      </w:r>
      <w:r>
        <w:rPr>
          <w:rFonts w:ascii="Arial" w:cs="Arial" w:eastAsia="Arial" w:hAnsi="Arial"/>
          <w:sz w:val="18"/>
          <w:szCs w:val="18"/>
          <w:color w:val="auto"/>
        </w:rPr>
        <w:t>” means each of them individually.</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Amendment to Article I of the Credit Agreement</w:t>
      </w:r>
      <w:r>
        <w:rPr>
          <w:rFonts w:ascii="Arial" w:cs="Arial" w:eastAsia="Arial" w:hAnsi="Arial"/>
          <w:sz w:val="20"/>
          <w:szCs w:val="20"/>
          <w:color w:val="auto"/>
        </w:rPr>
        <w:t>. Article I of the Credit Agreement is hereby amended to add the following new Section 1.06 immediately following Section 1.05 thereof:</w:t>
      </w:r>
    </w:p>
    <w:p>
      <w:pPr>
        <w:spacing w:after="0" w:line="17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6"/>
          <w:szCs w:val="16"/>
          <w:color w:val="auto"/>
        </w:rPr>
        <w:t>Dutch Terms</w:t>
      </w:r>
      <w:r>
        <w:rPr>
          <w:rFonts w:ascii="Arial" w:cs="Arial" w:eastAsia="Arial" w:hAnsi="Arial"/>
          <w:sz w:val="16"/>
          <w:szCs w:val="16"/>
          <w:i w:val="1"/>
          <w:iCs w:val="1"/>
          <w:color w:val="auto"/>
        </w:rPr>
        <w:t>.</w:t>
      </w:r>
      <w:r>
        <w:rPr>
          <w:rFonts w:ascii="Arial" w:cs="Arial" w:eastAsia="Arial" w:hAnsi="Arial"/>
          <w:sz w:val="16"/>
          <w:szCs w:val="16"/>
          <w:color w:val="auto"/>
        </w:rPr>
        <w:t xml:space="preserve"> In this Agreement, where it relates to an entity incorporated in the Netherlands, a reference to:</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79" w:right="239" w:bottom="1440" w:gutter="0" w:footer="0" w:header="0"/>
        </w:sectPr>
      </w:pPr>
    </w:p>
    <w:bookmarkStart w:id="42" w:name="page43"/>
    <w:bookmarkEnd w:id="42"/>
    <w:p>
      <w:pPr>
        <w:ind w:left="1540" w:hanging="235"/>
        <w:spacing w:after="0"/>
        <w:tabs>
          <w:tab w:leader="none" w:pos="1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“director” means a managing director (</w:t>
      </w:r>
      <w:r>
        <w:rPr>
          <w:rFonts w:ascii="Arial" w:cs="Arial" w:eastAsia="Arial" w:hAnsi="Arial"/>
          <w:sz w:val="19"/>
          <w:szCs w:val="19"/>
          <w:i w:val="1"/>
          <w:iCs w:val="1"/>
          <w:color w:val="auto"/>
        </w:rPr>
        <w:t>bestuurder</w:t>
      </w:r>
      <w:r>
        <w:rPr>
          <w:rFonts w:ascii="Arial" w:cs="Arial" w:eastAsia="Arial" w:hAnsi="Arial"/>
          <w:sz w:val="19"/>
          <w:szCs w:val="19"/>
          <w:color w:val="auto"/>
        </w:rPr>
        <w:t>) and “board of directors” means its managing board (</w:t>
      </w:r>
      <w:r>
        <w:rPr>
          <w:rFonts w:ascii="Arial" w:cs="Arial" w:eastAsia="Arial" w:hAnsi="Arial"/>
          <w:sz w:val="19"/>
          <w:szCs w:val="19"/>
          <w:i w:val="1"/>
          <w:iCs w:val="1"/>
          <w:color w:val="auto"/>
        </w:rPr>
        <w:t>bestuur</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660" w:right="20" w:firstLine="645"/>
        <w:spacing w:after="0" w:line="260" w:lineRule="auto"/>
        <w:tabs>
          <w:tab w:leader="none" w:pos="160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“action to authorize” or “duly authorized”, where applicable, includes without limitation any action required to comply with the Dutch Works Council Act (</w:t>
      </w:r>
      <w:r>
        <w:rPr>
          <w:rFonts w:ascii="Arial" w:cs="Arial" w:eastAsia="Arial" w:hAnsi="Arial"/>
          <w:sz w:val="20"/>
          <w:szCs w:val="20"/>
          <w:i w:val="1"/>
          <w:iCs w:val="1"/>
          <w:color w:val="auto"/>
        </w:rPr>
        <w:t>Wet op de ondernemingsraden</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660" w:firstLine="645"/>
        <w:spacing w:after="0" w:line="260" w:lineRule="auto"/>
        <w:tabs>
          <w:tab w:leader="none" w:pos="1662"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“proceeding under any bankruptcy or insolvency law”, “bankruptcy”, “insolvency”, or “dissolution” includes a Dutch entity being declared bankrupt (</w:t>
      </w:r>
      <w:r>
        <w:rPr>
          <w:rFonts w:ascii="Arial" w:cs="Arial" w:eastAsia="Arial" w:hAnsi="Arial"/>
          <w:sz w:val="20"/>
          <w:szCs w:val="20"/>
          <w:i w:val="1"/>
          <w:iCs w:val="1"/>
          <w:color w:val="auto"/>
        </w:rPr>
        <w:t>failliet verklaard</w:t>
      </w:r>
      <w:r>
        <w:rPr>
          <w:rFonts w:ascii="Arial" w:cs="Arial" w:eastAsia="Arial" w:hAnsi="Arial"/>
          <w:sz w:val="20"/>
          <w:szCs w:val="20"/>
          <w:color w:val="auto"/>
        </w:rPr>
        <w:t>) or dissolved (</w:t>
      </w:r>
      <w:r>
        <w:rPr>
          <w:rFonts w:ascii="Arial" w:cs="Arial" w:eastAsia="Arial" w:hAnsi="Arial"/>
          <w:sz w:val="20"/>
          <w:szCs w:val="20"/>
          <w:i w:val="1"/>
          <w:iCs w:val="1"/>
          <w:color w:val="auto"/>
        </w:rPr>
        <w:t>ontbonden</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677" w:val="left"/>
        </w:tabs>
        <w:numPr>
          <w:ilvl w:val="0"/>
          <w:numId w:val="23"/>
        </w:numPr>
        <w:rPr>
          <w:rFonts w:ascii="Arial" w:cs="Arial" w:eastAsia="Arial" w:hAnsi="Arial"/>
          <w:sz w:val="19"/>
          <w:szCs w:val="19"/>
          <w:color w:val="auto"/>
        </w:rPr>
      </w:pPr>
      <w:r>
        <w:rPr>
          <w:rFonts w:ascii="Arial" w:cs="Arial" w:eastAsia="Arial" w:hAnsi="Arial"/>
          <w:sz w:val="19"/>
          <w:szCs w:val="19"/>
          <w:color w:val="auto"/>
        </w:rPr>
        <w:t>“bankruptcy, insolvency, receivership or similar proceeding” or “liquidation proceeding” (or words of similar import) includes an application for moratorium (</w:t>
      </w:r>
      <w:r>
        <w:rPr>
          <w:rFonts w:ascii="Arial" w:cs="Arial" w:eastAsia="Arial" w:hAnsi="Arial"/>
          <w:sz w:val="19"/>
          <w:szCs w:val="19"/>
          <w:i w:val="1"/>
          <w:iCs w:val="1"/>
          <w:color w:val="auto"/>
        </w:rPr>
        <w:t>surseance van betaling</w:t>
      </w:r>
      <w:r>
        <w:rPr>
          <w:rFonts w:ascii="Arial" w:cs="Arial" w:eastAsia="Arial" w:hAnsi="Arial"/>
          <w:sz w:val="19"/>
          <w:szCs w:val="19"/>
          <w:color w:val="auto"/>
        </w:rPr>
        <w:t>) and the appointment of a receiver, liquidator, custodian, trustee includes the appointment of an administrator and that a moratorium has been granted (</w:t>
      </w:r>
      <w:r>
        <w:rPr>
          <w:rFonts w:ascii="Arial" w:cs="Arial" w:eastAsia="Arial" w:hAnsi="Arial"/>
          <w:sz w:val="19"/>
          <w:szCs w:val="19"/>
          <w:i w:val="1"/>
          <w:iCs w:val="1"/>
          <w:color w:val="auto"/>
        </w:rPr>
        <w:t>surseance verleend</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left="660" w:right="20" w:firstLine="645"/>
        <w:spacing w:after="0" w:line="246" w:lineRule="auto"/>
        <w:tabs>
          <w:tab w:leader="none" w:pos="1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procedure or step taken in connection with an insolvency proceeding includes such Dutch entity having filed a notice under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 or Section 60 of the Social Insurance Financing Act of the Netherlands (</w:t>
      </w:r>
      <w:r>
        <w:rPr>
          <w:rFonts w:ascii="Arial" w:cs="Arial" w:eastAsia="Arial" w:hAnsi="Arial"/>
          <w:sz w:val="20"/>
          <w:szCs w:val="20"/>
          <w:i w:val="1"/>
          <w:iCs w:val="1"/>
          <w:color w:val="auto"/>
        </w:rPr>
        <w:t>Wet Financiering Sociale Verzekeringen</w:t>
      </w:r>
      <w:r>
        <w:rPr>
          <w:rFonts w:ascii="Arial" w:cs="Arial" w:eastAsia="Arial" w:hAnsi="Arial"/>
          <w:sz w:val="20"/>
          <w:szCs w:val="20"/>
          <w:color w:val="auto"/>
        </w:rPr>
        <w:t>) in conjunction with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640" w:hanging="335"/>
        <w:spacing w:after="0"/>
        <w:tabs>
          <w:tab w:leader="none" w:pos="1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 “trustee” in any bankruptcy or insolvency proceeding includes a </w:t>
      </w:r>
      <w:r>
        <w:rPr>
          <w:rFonts w:ascii="Arial" w:cs="Arial" w:eastAsia="Arial" w:hAnsi="Arial"/>
          <w:sz w:val="20"/>
          <w:szCs w:val="20"/>
          <w:i w:val="1"/>
          <w:iCs w:val="1"/>
          <w:color w:val="auto"/>
        </w:rPr>
        <w:t>curator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an “administrator” includes a </w:t>
      </w:r>
      <w:r>
        <w:rPr>
          <w:rFonts w:ascii="Arial" w:cs="Arial" w:eastAsia="Arial" w:hAnsi="Arial"/>
          <w:sz w:val="20"/>
          <w:szCs w:val="20"/>
          <w:i w:val="1"/>
          <w:iCs w:val="1"/>
          <w:color w:val="auto"/>
        </w:rPr>
        <w:t>bewindvoerder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an “attachment” includes a </w:t>
      </w:r>
      <w:r>
        <w:rPr>
          <w:rFonts w:ascii="Arial" w:cs="Arial" w:eastAsia="Arial" w:hAnsi="Arial"/>
          <w:sz w:val="20"/>
          <w:szCs w:val="20"/>
          <w:i w:val="1"/>
          <w:iCs w:val="1"/>
          <w:color w:val="auto"/>
        </w:rPr>
        <w:t>beslag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40" w:hanging="335"/>
        <w:spacing w:after="0"/>
        <w:tabs>
          <w:tab w:leader="none" w:pos="1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“gross negligence” means </w:t>
      </w:r>
      <w:r>
        <w:rPr>
          <w:rFonts w:ascii="Arial" w:cs="Arial" w:eastAsia="Arial" w:hAnsi="Arial"/>
          <w:sz w:val="20"/>
          <w:szCs w:val="20"/>
          <w:i w:val="1"/>
          <w:iCs w:val="1"/>
          <w:color w:val="auto"/>
        </w:rPr>
        <w:t>grove schuld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“indemnify” means </w:t>
      </w:r>
      <w:r>
        <w:rPr>
          <w:rFonts w:ascii="Arial" w:cs="Arial" w:eastAsia="Arial" w:hAnsi="Arial"/>
          <w:sz w:val="20"/>
          <w:szCs w:val="20"/>
          <w:i w:val="1"/>
          <w:iCs w:val="1"/>
          <w:color w:val="auto"/>
        </w:rPr>
        <w:t>vrijwaren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40" w:hanging="335"/>
        <w:spacing w:after="0"/>
        <w:tabs>
          <w:tab w:leader="none" w:pos="1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“negligence” means </w:t>
      </w:r>
      <w:r>
        <w:rPr>
          <w:rFonts w:ascii="Arial" w:cs="Arial" w:eastAsia="Arial" w:hAnsi="Arial"/>
          <w:sz w:val="20"/>
          <w:szCs w:val="20"/>
          <w:i w:val="1"/>
          <w:iCs w:val="1"/>
          <w:color w:val="auto"/>
        </w:rPr>
        <w:t>schuld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“bad faith” means </w:t>
      </w:r>
      <w:r>
        <w:rPr>
          <w:rFonts w:ascii="Arial" w:cs="Arial" w:eastAsia="Arial" w:hAnsi="Arial"/>
          <w:sz w:val="20"/>
          <w:szCs w:val="20"/>
          <w:i w:val="1"/>
          <w:iCs w:val="1"/>
          <w:color w:val="auto"/>
        </w:rPr>
        <w:t>kwade trouw</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“willful misconduct” means </w:t>
      </w:r>
      <w:r>
        <w:rPr>
          <w:rFonts w:ascii="Arial" w:cs="Arial" w:eastAsia="Arial" w:hAnsi="Arial"/>
          <w:sz w:val="20"/>
          <w:szCs w:val="20"/>
          <w:i w:val="1"/>
          <w:iCs w:val="1"/>
          <w:color w:val="auto"/>
        </w:rPr>
        <w:t>opzet</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Amendment to Section 2.02(b) of the Credit Agreement</w:t>
      </w:r>
      <w:r>
        <w:rPr>
          <w:rFonts w:ascii="Arial" w:cs="Arial" w:eastAsia="Arial" w:hAnsi="Arial"/>
          <w:sz w:val="20"/>
          <w:szCs w:val="20"/>
          <w:color w:val="auto"/>
        </w:rPr>
        <w:t>. Section 2.02(b) of the Credit Agreement is hereby amended by deleting the last sentence of such Section and replacing it with the following:</w:t>
      </w:r>
    </w:p>
    <w:p>
      <w:pPr>
        <w:spacing w:after="0" w:line="177"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 xml:space="preserve">Each Lender at its option may make any Loan by causing any domestic or foreign branch or Affiliate of such Lender to make such Loan;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exercise of such option shall not affect the obligation of the applicable Borrower to repay such Loan in accordance with the terms of this Agreement.</w:t>
      </w:r>
    </w:p>
    <w:p>
      <w:pPr>
        <w:spacing w:after="0" w:line="186"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Addition of Section 2.21 to the Credit Agreement</w:t>
      </w:r>
      <w:r>
        <w:rPr>
          <w:rFonts w:ascii="Arial" w:cs="Arial" w:eastAsia="Arial" w:hAnsi="Arial"/>
          <w:sz w:val="20"/>
          <w:szCs w:val="20"/>
          <w:color w:val="auto"/>
        </w:rPr>
        <w:t>. Article II of the Credit Agreement is hereby amended to add the following new Section 2.21 thereto immediately following Section 2.20 of the Credit Agreement: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3" w:name="page44"/>
    <w:bookmarkEnd w:id="43"/>
    <w:p>
      <w:pPr>
        <w:ind w:left="1300"/>
        <w:spacing w:after="0"/>
        <w:tabs>
          <w:tab w:leader="none" w:pos="248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8"/>
          <w:szCs w:val="18"/>
          <w:u w:val="single" w:color="auto"/>
          <w:color w:val="auto"/>
        </w:rPr>
        <w:t>Designation of Additional Revolving Borrowers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69" w:lineRule="auto"/>
        <w:tabs>
          <w:tab w:leader="none" w:pos="1739"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 xml:space="preserve">. Subject to the terms and conditions of this Section 2.21, the Company may, at any time or from time to time on or after the Amendment No. 1 Effective Date, upon not less than 5 Business Days’ notice (or such shorter period which is reasonably acceptable to the Administrative Agent) to the Administrative Agent (which shall promptly notify the Lenders thereof), request the designation of a wholly-owned Subsidiary as an Additional Revolving Borrower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satisfaction of the applicable conditions precedent set forth in Amendment No. 1, Cooper Netherlands and Cooper Costa Rica have each been designated as an Additional Revolving Borrower as of the Amendment No. 1 Effective Date. Each such notice shall specify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name of the applicable Subsidiary and (B) its jurisdiction of organization.</w:t>
      </w:r>
    </w:p>
    <w:p>
      <w:pPr>
        <w:spacing w:after="0" w:line="199" w:lineRule="exact"/>
        <w:rPr>
          <w:rFonts w:ascii="Arial" w:cs="Arial" w:eastAsia="Arial" w:hAnsi="Arial"/>
          <w:sz w:val="20"/>
          <w:szCs w:val="20"/>
          <w:color w:val="auto"/>
        </w:rPr>
      </w:pPr>
    </w:p>
    <w:p>
      <w:pPr>
        <w:jc w:val="both"/>
        <w:ind w:left="660" w:firstLine="645"/>
        <w:spacing w:after="0" w:line="243" w:lineRule="auto"/>
        <w:tabs>
          <w:tab w:leader="none" w:pos="1885"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Effect of Designation</w:t>
      </w:r>
      <w:r>
        <w:rPr>
          <w:rFonts w:ascii="Arial" w:cs="Arial" w:eastAsia="Arial" w:hAnsi="Arial"/>
          <w:sz w:val="20"/>
          <w:szCs w:val="20"/>
          <w:color w:val="auto"/>
        </w:rPr>
        <w:t>. Upon the satisfaction of the conditions specified in paragraph (c) of this Section 2.21, the applicable designated Additional Revolving Borrower shall become a party to this Agreement as a Revolving Borrower and a Borrower hereunder and, subject to the terms and conditions of this Agreement, such Additional Revolving Borrower shall be entitled to borrow Revolving Loans or request the issuance of Letters of Credit hereunder (and, in each case, such Additional Revolving Borrower shall have and shall assume all of the obligations of a Borrower hereunder). The Administrative Agent shall promptly notify the Lenders of the effectiveness of any such designation.</w:t>
      </w:r>
    </w:p>
    <w:p>
      <w:pPr>
        <w:spacing w:after="0" w:line="196" w:lineRule="exact"/>
        <w:rPr>
          <w:rFonts w:ascii="Arial" w:cs="Arial" w:eastAsia="Arial" w:hAnsi="Arial"/>
          <w:sz w:val="20"/>
          <w:szCs w:val="20"/>
          <w:color w:val="auto"/>
        </w:rPr>
      </w:pPr>
    </w:p>
    <w:p>
      <w:pPr>
        <w:jc w:val="both"/>
        <w:ind w:left="660" w:firstLine="645"/>
        <w:spacing w:after="0" w:line="244" w:lineRule="auto"/>
        <w:tabs>
          <w:tab w:leader="none" w:pos="1807"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Conditions to Designation</w:t>
      </w:r>
      <w:r>
        <w:rPr>
          <w:rFonts w:ascii="Arial" w:cs="Arial" w:eastAsia="Arial" w:hAnsi="Arial"/>
          <w:sz w:val="20"/>
          <w:szCs w:val="20"/>
          <w:color w:val="auto"/>
        </w:rPr>
        <w:t>. The designation by the Company of any Subsidiary as an Additional Revolving Borrower hereunder shall be subject to the satisfaction of the following conditions (including delivery to the Administrative Agent of the following documents, each of which shall be reasonably satisfactory to the Administrative Agent in form and substance or may be waived by the Administrative Agent in its sole discretion) and such designation shall become effective on the date on which all such conditions are satisfied (or so waived):</w:t>
      </w:r>
    </w:p>
    <w:p>
      <w:pPr>
        <w:spacing w:after="0" w:line="194" w:lineRule="exact"/>
        <w:rPr>
          <w:rFonts w:ascii="Arial" w:cs="Arial" w:eastAsia="Arial" w:hAnsi="Arial"/>
          <w:sz w:val="20"/>
          <w:szCs w:val="20"/>
          <w:color w:val="auto"/>
        </w:rPr>
      </w:pPr>
    </w:p>
    <w:p>
      <w:pPr>
        <w:ind w:left="2520" w:right="20" w:hanging="567"/>
        <w:spacing w:after="0" w:line="260" w:lineRule="auto"/>
        <w:tabs>
          <w:tab w:leader="none" w:pos="25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immediately prior to and after giving effect to such designation, no Default shall have occurred and be continuing;</w:t>
      </w:r>
    </w:p>
    <w:p>
      <w:pPr>
        <w:spacing w:after="0" w:line="176" w:lineRule="exact"/>
        <w:rPr>
          <w:rFonts w:ascii="Arial" w:cs="Arial" w:eastAsia="Arial" w:hAnsi="Arial"/>
          <w:sz w:val="20"/>
          <w:szCs w:val="20"/>
          <w:color w:val="auto"/>
        </w:rPr>
      </w:pPr>
    </w:p>
    <w:p>
      <w:pPr>
        <w:jc w:val="both"/>
        <w:ind w:left="2520" w:hanging="567"/>
        <w:spacing w:after="0" w:line="278" w:lineRule="auto"/>
        <w:tabs>
          <w:tab w:leader="none" w:pos="25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 the case of Cooper Netherlands and Cooper Costa Rica, each Existing Borrower and each such Additional Revolving Borrower shall have executed Amendment No. 1 and in the case of any Additional Revolving Borrower becoming a party hereto after the Amendment No. 1 Effective Date, the Administrative Agent shall have received an Additional Revolving Borrower Joinder Agreement, duly completed and executed by the Company, such Additional Revolving Borrower and the Administrative Agent;</w:t>
      </w:r>
    </w:p>
    <w:p>
      <w:pPr>
        <w:spacing w:after="0" w:line="165" w:lineRule="exact"/>
        <w:rPr>
          <w:sz w:val="20"/>
          <w:szCs w:val="20"/>
          <w:color w:val="auto"/>
        </w:rPr>
      </w:pPr>
    </w:p>
    <w:p>
      <w:pPr>
        <w:ind w:left="2520" w:hanging="567"/>
        <w:spacing w:after="0" w:line="260" w:lineRule="auto"/>
        <w:tabs>
          <w:tab w:leader="none" w:pos="25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an Authorized Officer of the Company to the effect that the conditions to such designation set forth in this Section 2.21 shall be satisfied;</w:t>
      </w:r>
    </w:p>
    <w:p>
      <w:pPr>
        <w:spacing w:after="0" w:line="176" w:lineRule="exact"/>
        <w:rPr>
          <w:rFonts w:ascii="Arial" w:cs="Arial" w:eastAsia="Arial" w:hAnsi="Arial"/>
          <w:sz w:val="20"/>
          <w:szCs w:val="20"/>
          <w:color w:val="auto"/>
        </w:rPr>
      </w:pPr>
    </w:p>
    <w:p>
      <w:pPr>
        <w:jc w:val="both"/>
        <w:ind w:left="2520" w:hanging="567"/>
        <w:spacing w:after="0" w:line="282" w:lineRule="auto"/>
        <w:tabs>
          <w:tab w:leader="none" w:pos="2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proof of corporate or other action, incumbency of officers, legal opinion and other documents as are consistent with those delivered by the Borrowers pursuant to Section 4.01 on the Closing Date as the Administrative Agent shall reasonably request, all in form, content and scope substantially consistent with those delivered by the Borrowers on the Closing Date; and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4" w:name="page45"/>
    <w:bookmarkEnd w:id="44"/>
    <w:p>
      <w:pPr>
        <w:jc w:val="both"/>
        <w:ind w:left="2520" w:hanging="567"/>
        <w:spacing w:after="0" w:line="263" w:lineRule="auto"/>
        <w:tabs>
          <w:tab w:leader="none" w:pos="252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to the extent requested by the Administrative Agent or any Lender at least three (3) Business Days in advance of the effectiveness of such designation, the Administrative Agent or such Lender shall have received all documentation and other information with respect to such Subsidiary required by regulatory authorities under applicable Sanctions Laws and Regulations or the Beneficial Ownership Regulation.</w:t>
      </w:r>
    </w:p>
    <w:p>
      <w:pPr>
        <w:spacing w:after="0" w:line="176" w:lineRule="exact"/>
        <w:rPr>
          <w:rFonts w:ascii="Arial" w:cs="Arial" w:eastAsia="Arial" w:hAnsi="Arial"/>
          <w:sz w:val="19"/>
          <w:szCs w:val="19"/>
          <w:color w:val="auto"/>
        </w:rPr>
      </w:pPr>
    </w:p>
    <w:p>
      <w:pPr>
        <w:jc w:val="both"/>
        <w:ind w:left="660" w:firstLine="645"/>
        <w:spacing w:after="0" w:line="256" w:lineRule="auto"/>
        <w:tabs>
          <w:tab w:leader="none" w:pos="185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Inability to Lend</w:t>
      </w:r>
      <w:r>
        <w:rPr>
          <w:rFonts w:ascii="Arial" w:cs="Arial" w:eastAsia="Arial" w:hAnsi="Arial"/>
          <w:sz w:val="19"/>
          <w:szCs w:val="19"/>
          <w:color w:val="auto"/>
        </w:rPr>
        <w:t>. If (a) by reason of the fact that any Additional Revolving Borrower is organized in, or conducts business in, a jurisdiction outside the United States (including, for purposes of this Section 2.21(d), Puerto Rico) (other than the Netherlands or Costa Rica), it is unlawful, in the sole determination of any Lender, for such Lender (or its applicable lending office) to make or maintain Loans to such Additional Revolving Borrower or (b) on or after the date hereof, it becomes unlawful for any Lender (or its applicable lending office) to perform any of its obligations as contemplated by this Agreement or make, maintain or fund any of its Loans to any Additional Revolving Borrower, and such Lender shall so notify the Administrative Agent, the Administrative Agent shall forthwith give notice thereof to the other Lenders and the Company, whereupon until such Lender notifies the Company and the Administrative Agent that the circumstances giving rise to such suspension no longer exist, the obligation of such Lender to make or maintain Loans to such Additional Revolving Borrower shall be suspended.</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Amendment to Section 5.02 of the Credit Agreement</w:t>
      </w:r>
      <w:r>
        <w:rPr>
          <w:rFonts w:ascii="Arial" w:cs="Arial" w:eastAsia="Arial" w:hAnsi="Arial"/>
          <w:sz w:val="20"/>
          <w:szCs w:val="20"/>
          <w:color w:val="auto"/>
        </w:rPr>
        <w:t>. Section 5.02 of the Credit Agreement is hereby amended by (i) deleting the “and” at the end of clause (c) thereof, (ii) deleting the “.” at the end of clause (d) thereof and replacing it with “; and”, and (iii) adding the following new clause (e) immediately following clause (d) thereof:</w:t>
      </w:r>
    </w:p>
    <w:p>
      <w:pPr>
        <w:spacing w:after="0" w:line="186" w:lineRule="exact"/>
        <w:rPr>
          <w:sz w:val="20"/>
          <w:szCs w:val="20"/>
          <w:color w:val="auto"/>
        </w:rPr>
      </w:pPr>
    </w:p>
    <w:p>
      <w:pPr>
        <w:jc w:val="both"/>
        <w:ind w:left="660" w:right="20" w:firstLine="645"/>
        <w:spacing w:after="0" w:line="250" w:lineRule="auto"/>
        <w:tabs>
          <w:tab w:leader="none" w:pos="17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solely to the extent that any Borrower qualifies as a “legal entity customer” under the Beneficial Ownership Regulation, any change in the information provided in any Beneficial Ownership Certification that would result in a change to the list of beneficial owners identified in parts (c) or (d) of such certification.</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Amendment to Section 6.02 of the Credit Agreement</w:t>
      </w:r>
      <w:r>
        <w:rPr>
          <w:rFonts w:ascii="Arial" w:cs="Arial" w:eastAsia="Arial" w:hAnsi="Arial"/>
          <w:sz w:val="20"/>
          <w:szCs w:val="20"/>
          <w:color w:val="auto"/>
        </w:rPr>
        <w:t>. Section 6.02(a) of the Credit Agreement is hereby amended by deleting each reference to “CooperVision International” and replacing it with “any Borrower”.</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Amendment to Section 9.01 of the Credit Agreement</w:t>
      </w:r>
      <w:r>
        <w:rPr>
          <w:rFonts w:ascii="Arial" w:cs="Arial" w:eastAsia="Arial" w:hAnsi="Arial"/>
          <w:sz w:val="20"/>
          <w:szCs w:val="20"/>
          <w:color w:val="auto"/>
        </w:rPr>
        <w:t>. Section 9.01 of the Credit Agreement is hereby amended by deleting each reference to “CooperVision International” and replacing it with “any Borrower (other than the Company)”.</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Amendment to Section 10.18 of the Credit Agreement</w:t>
      </w:r>
      <w:r>
        <w:rPr>
          <w:rFonts w:ascii="Arial" w:cs="Arial" w:eastAsia="Arial" w:hAnsi="Arial"/>
          <w:sz w:val="20"/>
          <w:szCs w:val="20"/>
          <w:color w:val="auto"/>
        </w:rPr>
        <w:t>. Section 10.18 of the Credit Agreement is hereby amended and restated in its entirety to read as follows:</w:t>
      </w:r>
    </w:p>
    <w:p>
      <w:pPr>
        <w:spacing w:after="0" w:line="177" w:lineRule="exact"/>
        <w:rPr>
          <w:sz w:val="20"/>
          <w:szCs w:val="20"/>
          <w:color w:val="auto"/>
        </w:rPr>
      </w:pPr>
    </w:p>
    <w:p>
      <w:pPr>
        <w:ind w:left="660" w:right="160" w:firstLine="648"/>
        <w:spacing w:after="0" w:line="243" w:lineRule="auto"/>
        <w:rPr>
          <w:sz w:val="20"/>
          <w:szCs w:val="20"/>
          <w:color w:val="auto"/>
        </w:rPr>
      </w:pPr>
      <w:r>
        <w:rPr>
          <w:rFonts w:ascii="Arial" w:cs="Arial" w:eastAsia="Arial" w:hAnsi="Arial"/>
          <w:sz w:val="20"/>
          <w:szCs w:val="20"/>
          <w:color w:val="auto"/>
        </w:rPr>
        <w:t xml:space="preserve">Section 10.18 </w:t>
      </w:r>
      <w:r>
        <w:rPr>
          <w:rFonts w:ascii="Arial" w:cs="Arial" w:eastAsia="Arial" w:hAnsi="Arial"/>
          <w:sz w:val="20"/>
          <w:szCs w:val="20"/>
          <w:u w:val="single" w:color="auto"/>
          <w:color w:val="auto"/>
        </w:rPr>
        <w:t>Several Liability of CooperVision International and Additional Revolving Borrowers</w:t>
      </w:r>
      <w:r>
        <w:rPr>
          <w:rFonts w:ascii="Arial" w:cs="Arial" w:eastAsia="Arial" w:hAnsi="Arial"/>
          <w:sz w:val="20"/>
          <w:szCs w:val="20"/>
          <w:color w:val="auto"/>
        </w:rPr>
        <w:t>. Notwithstanding anything in this Agreement or any other Loan Document to the contrary, the Obligations of (x) CooperVision International hereunder and (y) each Additional Revolving Borrower, in each case, shall be several (and not joint) and each of CooperVision International and each Additional Revolving Borrower shall only be liable for any Loans and any other Obligations incurred directly by it and shall not be liable for any of the Obligations of the Company or any other Loan Party hereunder. The foregoing shall not in any way limit the guaranty obligations of the Company pursuant to Article IX hereof or the guaranty obligations of any Subsidiary Guarantor under the Subsidiary Guaranty.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5" w:name="page46"/>
    <w:bookmarkEnd w:id="45"/>
    <w:p>
      <w:pPr>
        <w:jc w:val="both"/>
        <w:ind w:firstLine="648"/>
        <w:spacing w:after="0" w:line="26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Joinder</w:t>
      </w:r>
      <w:r>
        <w:rPr>
          <w:rFonts w:ascii="Arial" w:cs="Arial" w:eastAsia="Arial" w:hAnsi="Arial"/>
          <w:sz w:val="18"/>
          <w:szCs w:val="18"/>
          <w:color w:val="auto"/>
        </w:rPr>
        <w:t>. Subject to the effectiveness of this Amendment pursuant to Section 12 of this Amendment and the satisfaction of the conditions precedent set forth in Section 13 of this Amendment, each of Cooper Netherlands and Cooper Costa Rica hereby acknowledges, agrees and confirms that, by its execution of this Amendment, it shall become an Additional Revolving Borrower under the Credit Agreement in accordance with Section 2.21 of the Credit Agreement (as amended by this Amendment) and shall be fully bound by, and subject to, all of the covenants, terms, obligations (including, without limitation, all payment obligations) and conditions of the Credit Agreement applicable to a “Revolving Borrower,” “Borrower,” or a “Loan Party” as though originally party thereto as a “Revolving Borrower,” “Borrower” and a “Loan Party”, and each of Cooper Netherlands and Cooper Costa Rica shall be deemed a “Revolving Borrower,” a “Borrower” and a “Loan Party” for all purposes of the Credit Agreement and the other Loan Documents from and after the date hereof. By its signature below, each Existing Borrower and each Subsidiary Guarantor, each Lender party hereto and the Administrative Agent hereby agree and consent to each of Cooper Netherlands and Cooper Costa Rica becoming bound by, and subject to, the terms and conditions of the Credit Agreement as provided herein, and agree and acknowledge that each of Cooper Netherlands and Cooper Costa Rica shall be subject to the terms and conditions of the Credit Agreement provided therein, in each case as fully and the same as if Cooper Netherlands and Cooper Costa Rica were originally party thereto as a “Revolving Borrower,” “Borrower” and a “Loan Party”. Each of Cooper Netherlands and Cooper Costa Rica acknowledges and confirms that it has received a copy of the Credit Agreement, this Amendment, the other Loan Documents and all exhibits, annexes and schedules thereto and has reviewed and understands all of the terms and provisions thereof.</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6" w:name="page47"/>
    <w:bookmarkEnd w:id="46"/>
    <w:p>
      <w:pPr>
        <w:ind w:firstLine="648"/>
        <w:spacing w:after="0" w:line="26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Effectiveness of Amendment</w:t>
      </w:r>
      <w:r>
        <w:rPr>
          <w:rFonts w:ascii="Arial" w:cs="Arial" w:eastAsia="Arial" w:hAnsi="Arial"/>
          <w:sz w:val="20"/>
          <w:szCs w:val="20"/>
          <w:color w:val="auto"/>
        </w:rPr>
        <w:t>. This Amendment shall be effective on the date upon which each of the following conditions precedent has been satisfied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7" w:lineRule="exact"/>
        <w:rPr>
          <w:sz w:val="20"/>
          <w:szCs w:val="20"/>
          <w:color w:val="auto"/>
        </w:rPr>
      </w:pPr>
    </w:p>
    <w:p>
      <w:pPr>
        <w:jc w:val="both"/>
        <w:ind w:left="660" w:firstLine="645"/>
        <w:spacing w:after="0" w:line="250" w:lineRule="auto"/>
        <w:tabs>
          <w:tab w:leader="none" w:pos="181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This Amendment shall have been executed by the Existing Borrowers, Cooper Netherlands, Cooper Costa Rica, each Subsidiary Guarantor, the Administrative Agent and the Required Lenders, and counterparts hereof as so executed shall have been delivered to the Administrative Agent.</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83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Administrative Agent shall have received all documented out-of-pocket expenses (including reasonable fees and disbursements of counsel to the Administrative Agent, to the extent invoiced on or prior to the Effective Date) in connection with the preparation, negotiation and effectiveness of this Amendment and the other documents being executed or delivered in connection herewith.</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all purposes of this Amendment, the modifications set forth in Sections 2 through 10 of this Amendment shall be deemed effective on the Effective Date upon satisfaction of the foregoing conditions precedent and shall be deemed effective immediately prior to the joinders contemplated pursuant to Section 11 of this Amendment.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Effectiveness of Joinder</w:t>
      </w:r>
      <w:r>
        <w:rPr>
          <w:rFonts w:ascii="Arial" w:cs="Arial" w:eastAsia="Arial" w:hAnsi="Arial"/>
          <w:sz w:val="20"/>
          <w:szCs w:val="20"/>
          <w:color w:val="auto"/>
        </w:rPr>
        <w:t>. The joinder of Cooper Netherlands and Cooper Costa Rica as Additional Revolving Borrowers pursuant to Section 11 of this Amendment shall be effective on the date upon which each of the following conditions precedent has been satisfied:</w:t>
      </w:r>
    </w:p>
    <w:p>
      <w:pPr>
        <w:spacing w:after="0" w:line="186" w:lineRule="exact"/>
        <w:rPr>
          <w:sz w:val="20"/>
          <w:szCs w:val="20"/>
          <w:color w:val="auto"/>
        </w:rPr>
      </w:pPr>
    </w:p>
    <w:p>
      <w:pPr>
        <w:ind w:left="1720" w:hanging="415"/>
        <w:spacing w:after="0"/>
        <w:tabs>
          <w:tab w:leader="none" w:pos="1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conditions precedent set forth in Section 12 of this Amendment shall have been satisfied.</w:t>
      </w:r>
    </w:p>
    <w:p>
      <w:pPr>
        <w:spacing w:after="0" w:line="215" w:lineRule="exact"/>
        <w:rPr>
          <w:rFonts w:ascii="Arial" w:cs="Arial" w:eastAsia="Arial" w:hAnsi="Arial"/>
          <w:sz w:val="20"/>
          <w:szCs w:val="20"/>
          <w:color w:val="auto"/>
        </w:rPr>
      </w:pPr>
    </w:p>
    <w:p>
      <w:pPr>
        <w:ind w:left="660" w:firstLine="645"/>
        <w:spacing w:after="0" w:line="287" w:lineRule="auto"/>
        <w:tabs>
          <w:tab w:leader="none" w:pos="177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each of Cooper Netherlands and Cooper Costa Rica duly executed Notes in favor of each Lender requesting a Note at least three (3) Business Days prior to the Effective Date.</w:t>
      </w:r>
    </w:p>
    <w:p>
      <w:pPr>
        <w:spacing w:after="0" w:line="152" w:lineRule="exact"/>
        <w:rPr>
          <w:rFonts w:ascii="Arial" w:cs="Arial" w:eastAsia="Arial" w:hAnsi="Arial"/>
          <w:sz w:val="19"/>
          <w:szCs w:val="19"/>
          <w:color w:val="auto"/>
        </w:rPr>
      </w:pPr>
    </w:p>
    <w:p>
      <w:pPr>
        <w:jc w:val="both"/>
        <w:ind w:left="660" w:firstLine="645"/>
        <w:spacing w:after="0" w:line="231" w:lineRule="exact"/>
        <w:tabs>
          <w:tab w:leader="none" w:pos="18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Administrative Agent shall have received (i) a certificate of each of Cooper Netherlands and Cooper Costa Rica, dated the Effective Date and executed by its Secretary, Assistant Secretary, appointed Manager, or other authorized signatory, as applicable, which shall (A) certify the resolutions of its Board of Directors, members or other governing body authorizing the execution, delivery and performance of this Amendment, (B) identify by name and title and bear the signatures of the officers authorized to sign this Amendment and any other Loan Document, (C) contain appropriate attachments, including the certificate or articles of incorporation or organization certified by the relevant authority of the jurisdiction of organization and a true and correct copy of its by</w:t>
      </w:r>
      <w:r>
        <w:rPr>
          <w:rFonts w:ascii="MS PGothic" w:cs="MS PGothic" w:eastAsia="MS PGothic" w:hAnsi="MS PGothic"/>
          <w:sz w:val="18"/>
          <w:szCs w:val="18"/>
          <w:color w:val="auto"/>
        </w:rPr>
        <w:t>‑</w:t>
      </w:r>
      <w:r>
        <w:rPr>
          <w:rFonts w:ascii="Arial" w:cs="Arial" w:eastAsia="Arial" w:hAnsi="Arial"/>
          <w:sz w:val="18"/>
          <w:szCs w:val="18"/>
          <w:color w:val="auto"/>
        </w:rPr>
        <w:t>laws or operating, management or partnership agreement, or other organizational or governing documents and (D) for Cooper Netherlands, attach and certify as true and correct and in full force and effect: (a) its deed of incorporation (</w:t>
      </w:r>
      <w:r>
        <w:rPr>
          <w:rFonts w:ascii="Arial" w:cs="Arial" w:eastAsia="Arial" w:hAnsi="Arial"/>
          <w:sz w:val="18"/>
          <w:szCs w:val="18"/>
          <w:i w:val="1"/>
          <w:iCs w:val="1"/>
          <w:color w:val="auto"/>
        </w:rPr>
        <w:t>oprichtingsakte</w:t>
      </w:r>
      <w:r>
        <w:rPr>
          <w:rFonts w:ascii="Arial" w:cs="Arial" w:eastAsia="Arial" w:hAnsi="Arial"/>
          <w:sz w:val="18"/>
          <w:szCs w:val="18"/>
          <w:color w:val="auto"/>
        </w:rPr>
        <w:t>) and if amended after incorporation, its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(b) an up-to-date certified (</w:t>
      </w:r>
      <w:r>
        <w:rPr>
          <w:rFonts w:ascii="Arial" w:cs="Arial" w:eastAsia="Arial" w:hAnsi="Arial"/>
          <w:sz w:val="18"/>
          <w:szCs w:val="18"/>
          <w:i w:val="1"/>
          <w:iCs w:val="1"/>
          <w:color w:val="auto"/>
        </w:rPr>
        <w:t>gewaarmerkt</w:t>
      </w:r>
      <w:r>
        <w:rPr>
          <w:rFonts w:ascii="Arial" w:cs="Arial" w:eastAsia="Arial" w:hAnsi="Arial"/>
          <w:sz w:val="18"/>
          <w:szCs w:val="18"/>
          <w:color w:val="auto"/>
        </w:rPr>
        <w:t>) extract of the Dutch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dated no later than 3 Business Days prior to the Effective Date, and (c) if required by applicable law or its articles of association: a copy of a signed, unconditional and positive advice from each relevant works council (</w:t>
      </w:r>
      <w:r>
        <w:rPr>
          <w:rFonts w:ascii="Arial" w:cs="Arial" w:eastAsia="Arial" w:hAnsi="Arial"/>
          <w:sz w:val="18"/>
          <w:szCs w:val="18"/>
          <w:i w:val="1"/>
          <w:iCs w:val="1"/>
          <w:color w:val="auto"/>
        </w:rPr>
        <w:t>ondernemingsraad</w:t>
      </w:r>
      <w:r>
        <w:rPr>
          <w:rFonts w:ascii="Arial" w:cs="Arial" w:eastAsia="Arial" w:hAnsi="Arial"/>
          <w:sz w:val="18"/>
          <w:szCs w:val="18"/>
          <w:color w:val="auto"/>
        </w:rPr>
        <w:t>) or central or European works council of Cooper Netherlands approving the terms of, and the transactions contemplated by, this Agreement and the Loan Documents to which Cooper Netherlands will become party, together with the signed request for advice, and (ii) a good standing certificate for Cooper Costa Rica as of a recent date from its jurisdiction of organization or the substantive equivalent available in its jurisdiction of organization from the appropriate governmental officer in such jurisdiction.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7" w:name="page48"/>
    <w:bookmarkEnd w:id="47"/>
    <w:p>
      <w:pPr>
        <w:jc w:val="both"/>
        <w:ind w:left="660" w:firstLine="645"/>
        <w:spacing w:after="0" w:line="282" w:lineRule="auto"/>
        <w:tabs>
          <w:tab w:leader="none" w:pos="1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and the Lenders and dated the Effective Date) of (a) Latham &amp; Watkins LLP, counsel for the Borrowers and the other Loan Parties, and (b) applicable local counsel for each of Cooper Netherlands and Cooper Costa Rica, in each case, in form and substance reasonably acceptable to the Administrative Agent. The Borrowers hereby request each such counsel to deliver such opinion.</w:t>
      </w:r>
    </w:p>
    <w:p>
      <w:pPr>
        <w:spacing w:after="0" w:line="161" w:lineRule="exact"/>
        <w:rPr>
          <w:rFonts w:ascii="Arial" w:cs="Arial" w:eastAsia="Arial" w:hAnsi="Arial"/>
          <w:sz w:val="18"/>
          <w:szCs w:val="18"/>
          <w:color w:val="auto"/>
        </w:rPr>
      </w:pPr>
    </w:p>
    <w:p>
      <w:pPr>
        <w:ind w:left="660" w:firstLine="645"/>
        <w:spacing w:after="0" w:line="260" w:lineRule="auto"/>
        <w:tabs>
          <w:tab w:leader="none" w:pos="174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Administrative Agent shall have received a properly completed and signed IRS Form W-8 or W-9, as applicable, for each of Cooper Netherlands and Cooper Costa Rica.</w:t>
      </w:r>
    </w:p>
    <w:p>
      <w:pPr>
        <w:spacing w:after="0" w:line="176" w:lineRule="exact"/>
        <w:rPr>
          <w:rFonts w:ascii="Arial" w:cs="Arial" w:eastAsia="Arial" w:hAnsi="Arial"/>
          <w:sz w:val="20"/>
          <w:szCs w:val="20"/>
          <w:color w:val="auto"/>
        </w:rPr>
      </w:pPr>
    </w:p>
    <w:p>
      <w:pPr>
        <w:jc w:val="both"/>
        <w:ind w:left="660" w:firstLine="645"/>
        <w:spacing w:after="0" w:line="260" w:lineRule="auto"/>
        <w:tabs>
          <w:tab w:leader="none" w:pos="1725"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Administrative Agent and the Lenders shall have received all documentation and other information required by bank regulatory authorities under applicable “know your customer” and anti-money laundering rules and regulations, including the USA PATRIOT Act, for each of Cooper Netherlands and Cooper Costa Rica and, if any Loan Party qualifies as a “legal entity customer” under the Beneficial Ownership Regulation, a Beneficial Ownership Certification in relation to such entity, all to the extent requested at least three (3) Business Days prior to the Effective Date.</w:t>
      </w:r>
    </w:p>
    <w:p>
      <w:pPr>
        <w:spacing w:after="0" w:line="181"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Borrower (which shall include each of Cooper Netherlands and Cooper Costa Rica) and each Subsidiary Guarantor, by signing below, hereby represents and warrants to the Administrative Agent and the Lenders that:</w:t>
      </w:r>
    </w:p>
    <w:p>
      <w:pPr>
        <w:spacing w:after="0" w:line="130" w:lineRule="exact"/>
        <w:rPr>
          <w:sz w:val="20"/>
          <w:szCs w:val="20"/>
          <w:color w:val="auto"/>
        </w:rPr>
      </w:pPr>
    </w:p>
    <w:p>
      <w:pPr>
        <w:ind w:left="1720" w:hanging="415"/>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Borrower and each Subsidiary Guarantor has the legal power and authority to execute and deliver this Amendment;</w:t>
      </w:r>
    </w:p>
    <w:p>
      <w:pPr>
        <w:spacing w:after="0" w:line="238" w:lineRule="exact"/>
        <w:rPr>
          <w:rFonts w:ascii="Arial" w:cs="Arial" w:eastAsia="Arial" w:hAnsi="Arial"/>
          <w:sz w:val="18"/>
          <w:szCs w:val="18"/>
          <w:color w:val="auto"/>
        </w:rPr>
      </w:pPr>
    </w:p>
    <w:p>
      <w:pPr>
        <w:jc w:val="both"/>
        <w:ind w:left="660" w:firstLine="645"/>
        <w:spacing w:after="0" w:line="386" w:lineRule="auto"/>
        <w:tabs>
          <w:tab w:leader="none" w:pos="18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officers executing this Amendment on behalf of each Borrower and each Subsidiary Guarantor have been duly authorized to execute and deliver the same and bind such Borrower or such Subsidiary Guarantor with respect to the provisions hereof;</w:t>
      </w:r>
    </w:p>
    <w:p>
      <w:pPr>
        <w:spacing w:after="0" w:line="83" w:lineRule="exact"/>
        <w:rPr>
          <w:rFonts w:ascii="Arial" w:cs="Arial" w:eastAsia="Arial" w:hAnsi="Arial"/>
          <w:sz w:val="16"/>
          <w:szCs w:val="16"/>
          <w:color w:val="auto"/>
        </w:rPr>
      </w:pPr>
    </w:p>
    <w:p>
      <w:pPr>
        <w:ind w:left="660" w:firstLine="645"/>
        <w:spacing w:after="0" w:line="260" w:lineRule="auto"/>
        <w:tabs>
          <w:tab w:leader="none" w:pos="1738"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Default or Event of Default exists under the Credit Agreement, nor will any occur immediately after the execution and delivery of this Amendment;</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69"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Amendment constitutes the legal, valid and binding agreement and obligation of the Borrowers and each Subsidiary Guarantor,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91" w:lineRule="exact"/>
        <w:rPr>
          <w:rFonts w:ascii="Arial" w:cs="Arial" w:eastAsia="Arial" w:hAnsi="Arial"/>
          <w:sz w:val="20"/>
          <w:szCs w:val="20"/>
          <w:color w:val="auto"/>
        </w:rPr>
      </w:pPr>
    </w:p>
    <w:p>
      <w:pPr>
        <w:ind w:left="1760" w:hanging="455"/>
        <w:spacing w:after="0"/>
        <w:tabs>
          <w:tab w:leader="none" w:pos="1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included in each Beneficial Ownership Certification provided by the Borrowers is true and correct in all</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respects; and</w:t>
      </w:r>
    </w:p>
    <w:p>
      <w:pPr>
        <w:spacing w:after="0" w:line="199" w:lineRule="exact"/>
        <w:rPr>
          <w:rFonts w:ascii="Arial" w:cs="Arial" w:eastAsia="Arial" w:hAnsi="Arial"/>
          <w:sz w:val="18"/>
          <w:szCs w:val="18"/>
          <w:color w:val="auto"/>
        </w:rPr>
      </w:pPr>
    </w:p>
    <w:p>
      <w:pPr>
        <w:jc w:val="both"/>
        <w:ind w:left="660" w:firstLine="645"/>
        <w:spacing w:after="0" w:line="269" w:lineRule="auto"/>
        <w:tabs>
          <w:tab w:leader="none" w:pos="1711" w:val="left"/>
        </w:tabs>
        <w:numPr>
          <w:ilvl w:val="0"/>
          <w:numId w:val="33"/>
        </w:numPr>
        <w:rPr>
          <w:rFonts w:ascii="Arial" w:cs="Arial" w:eastAsia="Arial" w:hAnsi="Arial"/>
          <w:sz w:val="19"/>
          <w:szCs w:val="19"/>
          <w:color w:val="auto"/>
        </w:rPr>
      </w:pPr>
      <w:r>
        <w:rPr>
          <w:rFonts w:ascii="Arial" w:cs="Arial" w:eastAsia="Arial" w:hAnsi="Arial"/>
          <w:sz w:val="19"/>
          <w:szCs w:val="19"/>
          <w:color w:val="auto"/>
        </w:rPr>
        <w:t>each of the representations and warranties set forth in Article III of the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Credit Agreement Unaffected</w:t>
      </w:r>
      <w:r>
        <w:rPr>
          <w:rFonts w:ascii="Arial" w:cs="Arial" w:eastAsia="Arial" w:hAnsi="Arial"/>
          <w:sz w:val="19"/>
          <w:szCs w:val="19"/>
          <w:color w:val="auto"/>
        </w:rPr>
        <w:t>. Each reference to the Credit Agreement in any Loan Document shall hereafter be construed as a reference to the Credit Agreement as amended hereby. Except as herein otherwise specifically provided, all provisions of the Credit Agreement shall remain in full force and effect and be unaffected hereby. This Amendment shall be a Loan Document.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8" w:name="page49"/>
    <w:bookmarkEnd w:id="48"/>
    <w:p>
      <w:pPr>
        <w:ind w:left="660"/>
        <w:spacing w:after="0"/>
        <w:tabs>
          <w:tab w:leader="none" w:pos="176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Subsidiary Guarantor Acknowledgment</w:t>
      </w:r>
      <w:r>
        <w:rPr>
          <w:rFonts w:ascii="Arial" w:cs="Arial" w:eastAsia="Arial" w:hAnsi="Arial"/>
          <w:sz w:val="18"/>
          <w:szCs w:val="18"/>
          <w:color w:val="auto"/>
        </w:rPr>
        <w:t>. Each Subsidiary Guarantor, by signing this Amendment:</w:t>
      </w:r>
    </w:p>
    <w:p>
      <w:pPr>
        <w:spacing w:after="0" w:line="216"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consents and agrees to and acknowledges the terms of this Amendment;</w:t>
      </w:r>
    </w:p>
    <w:p>
      <w:pPr>
        <w:spacing w:after="0" w:line="215" w:lineRule="exact"/>
        <w:rPr>
          <w:rFonts w:ascii="Arial" w:cs="Arial" w:eastAsia="Arial" w:hAnsi="Arial"/>
          <w:sz w:val="20"/>
          <w:szCs w:val="20"/>
          <w:color w:val="auto"/>
        </w:rPr>
      </w:pPr>
    </w:p>
    <w:p>
      <w:pPr>
        <w:jc w:val="both"/>
        <w:ind w:left="660" w:right="20" w:firstLine="645"/>
        <w:spacing w:after="0" w:line="269" w:lineRule="auto"/>
        <w:tabs>
          <w:tab w:leader="none" w:pos="17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acknowledges and agrees that all of the Loan Documents to which such Subsidiary Guarantor is a party or is otherwise bound shall continue in full force and effect and that all of such Subsidiary Guarantor’s obligations thereunder shall be valid and enforceable and shall not be impaired or limited by the execution or effectiveness of this Amendment; and</w:t>
      </w:r>
    </w:p>
    <w:p>
      <w:pPr>
        <w:spacing w:after="0" w:line="170" w:lineRule="exact"/>
        <w:rPr>
          <w:rFonts w:ascii="Arial" w:cs="Arial" w:eastAsia="Arial" w:hAnsi="Arial"/>
          <w:sz w:val="19"/>
          <w:szCs w:val="19"/>
          <w:color w:val="auto"/>
        </w:rPr>
      </w:pPr>
    </w:p>
    <w:p>
      <w:pPr>
        <w:jc w:val="both"/>
        <w:ind w:left="660" w:firstLine="645"/>
        <w:spacing w:after="0" w:line="260" w:lineRule="auto"/>
        <w:tabs>
          <w:tab w:leader="none" w:pos="1851" w:val="left"/>
        </w:tabs>
        <w:numPr>
          <w:ilvl w:val="0"/>
          <w:numId w:val="34"/>
        </w:numPr>
        <w:rPr>
          <w:rFonts w:ascii="Arial" w:cs="Arial" w:eastAsia="Arial" w:hAnsi="Arial"/>
          <w:sz w:val="19"/>
          <w:szCs w:val="19"/>
          <w:color w:val="auto"/>
        </w:rPr>
      </w:pPr>
      <w:r>
        <w:rPr>
          <w:rFonts w:ascii="Arial" w:cs="Arial" w:eastAsia="Arial" w:hAnsi="Arial"/>
          <w:sz w:val="19"/>
          <w:szCs w:val="19"/>
          <w:color w:val="auto"/>
        </w:rPr>
        <w:t>acknowledges and agrees that (i) notwithstanding the conditions to effectiveness set forth in this Amendment, such Subsidiary Guarantor is not required by the terms of the Credit Agreement or any other Loan Document to which such Subsidiary Guarantor is a party to consent to the amendments to the Credit Agreement effected pursuant to this Amendment and (ii) nothing in the Credit Agreement, this Amendment or any other Loan Document shall be deemed to require the consent of such Subsidiary Guarantor to any future amendments or modifications to the Credit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together with the Credit Agreement and the other Loan Documents, integrates all the terms and conditions mentioned herein or incidental hereto and supersedes all oral representations and negotiations and prior writings with respect to the subject matter hereof.</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AND THE OTHER LOAN DOCUMENTS AND THE RIGHTS AND OBLIGATIONS OF THE PARTIES HEREUNDER AND THEREUNDER SHALL BE CONSTRUED IN ACCORDANCE WITH AND BE GOVERNED BY THE LAW OF THE STATE OF NEW YORK. TO THE FULLEST EXTENT PERMITTED BY LAW, THE BORROWERS HEREBY UNCONDITIONALLY AND IRREVOCABLY WAIVE ANY CLAIM TO ASSERT THAT THE LAW OF ANY JURISDICTION OTHER THAN THE STATE OF NEW YORK GOVERNS THIS AMENDMENT OR ANY OF THE OTHER LOAN DOCUMENTS.</w:t>
      </w:r>
    </w:p>
    <w:p>
      <w:pPr>
        <w:spacing w:after="0" w:line="18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u w:val="single" w:color="auto"/>
          <w:color w:val="auto"/>
        </w:rPr>
        <w:t>Jurisdiction</w:t>
      </w:r>
      <w:r>
        <w:rPr>
          <w:rFonts w:ascii="Arial" w:cs="Arial" w:eastAsia="Arial" w:hAnsi="Arial"/>
          <w:sz w:val="20"/>
          <w:szCs w:val="20"/>
          <w:color w:val="auto"/>
        </w:rPr>
        <w:t>. EACH BORROWER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49" w:name="page50"/>
    <w:bookmarkEnd w:id="49"/>
    <w:p>
      <w:pPr>
        <w:jc w:val="both"/>
        <w:spacing w:after="0" w:line="250" w:lineRule="auto"/>
        <w:rPr>
          <w:sz w:val="20"/>
          <w:szCs w:val="20"/>
          <w:color w:val="auto"/>
        </w:rPr>
      </w:pPr>
      <w:r>
        <w:rPr>
          <w:rFonts w:ascii="Arial" w:cs="Arial" w:eastAsia="Arial" w:hAnsi="Arial"/>
          <w:sz w:val="20"/>
          <w:szCs w:val="20"/>
          <w:color w:val="auto"/>
        </w:rPr>
        <w:t>SHALL AFFECT ANY RIGHT THAT THE ADMINISTRATIVE AGENT, THE ISSUING BANK OR ANY LENDER MAY OTHERWISE HAVE TO BRING ANY ACTION OR PROCEEDING RELATING TO THIS AMENDMENT OR ANY OF THE OTHER LOAN DOCUMENTS AGAINST ANY BORROWER OR ITS PROPERTIES IN THE COURTS OF ANY JURISDICTION.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JURY TRIAL WAIVER</w:t>
      </w:r>
      <w:r>
        <w:rPr>
          <w:rFonts w:ascii="Arial" w:cs="Arial" w:eastAsia="Arial" w:hAnsi="Arial"/>
          <w:sz w:val="20"/>
          <w:szCs w:val="20"/>
          <w:color w:val="auto"/>
        </w:rPr>
        <w:t>. EACH OF THE PARTIES TO THIS AMENDMENT HEREBY IRREVOCABLY WAIVES ALL RIGHT TO A TRIAL BY JURY IN ANY ACTION, PROCEEDING OR COUNTERCLAIM ARISING OUT OF OR RELATING TO THIS AMENDMENT OR ANY OF THE OTHER LOAN DOCUMENTS (INCLUDING, WITHOUT LIMITATION, ANY AMENDMENTS, WAIVERS OR OTHER MODIFICATIONS RELATING TO ANY OF THE FOREGOING), OR THE TRANSACTIONS CONTEMPLATED HEREBY OR THEREBY.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NAI-1506002948v15</w:t>
      </w:r>
    </w:p>
    <w:p>
      <w:pPr>
        <w:sectPr>
          <w:pgSz w:w="11900" w:h="16838" w:orient="portrait"/>
          <w:cols w:equalWidth="0" w:num="1">
            <w:col w:w="11420"/>
          </w:cols>
          <w:pgMar w:left="240" w:top="366"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20"/>
          <w:szCs w:val="20"/>
          <w:color w:val="auto"/>
        </w:rPr>
        <w:t>IN WITNESS WHEREOF, this Amendment has been duly executed and delivered as of the date first above written.</w:t>
      </w:r>
    </w:p>
    <w:p>
      <w:pPr>
        <w:spacing w:after="0" w:line="39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THE COOPER COMPANIES, INC., as an Existing Borrower</w:t>
      </w: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By:___________</w:t>
      </w:r>
      <w:r>
        <w:rPr>
          <w:rFonts w:ascii="Arial" w:cs="Arial" w:eastAsia="Arial" w:hAnsi="Arial"/>
          <w:sz w:val="20"/>
          <w:szCs w:val="20"/>
          <w:u w:val="single" w:color="auto"/>
          <w:color w:val="auto"/>
        </w:rPr>
        <w:t>/s/ Randal L. Golden</w:t>
      </w:r>
      <w:r>
        <w:rPr>
          <w:rFonts w:ascii="Arial" w:cs="Arial" w:eastAsia="Arial" w:hAnsi="Arial"/>
          <w:sz w:val="20"/>
          <w:szCs w:val="20"/>
          <w:color w:val="auto"/>
        </w:rPr>
        <w:t>_____________</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Randal L. Golden</w:t>
      </w:r>
    </w:p>
    <w:p>
      <w:pPr>
        <w:ind w:left="5620"/>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243" w:lineRule="exact"/>
        <w:rPr>
          <w:sz w:val="20"/>
          <w:szCs w:val="20"/>
          <w:color w:val="auto"/>
        </w:rPr>
      </w:pPr>
    </w:p>
    <w:p>
      <w:pPr>
        <w:ind w:left="5320" w:right="100"/>
        <w:spacing w:after="0" w:line="260" w:lineRule="auto"/>
        <w:rPr>
          <w:sz w:val="20"/>
          <w:szCs w:val="20"/>
          <w:color w:val="auto"/>
        </w:rPr>
      </w:pPr>
      <w:r>
        <w:rPr>
          <w:rFonts w:ascii="Arial" w:cs="Arial" w:eastAsia="Arial" w:hAnsi="Arial"/>
          <w:sz w:val="20"/>
          <w:szCs w:val="20"/>
          <w:color w:val="auto"/>
        </w:rPr>
        <w:t>COOPERVISION INTERNATIONAL HOLDING COMPANY, LP, as an Existing Borrower</w:t>
      </w:r>
    </w:p>
    <w:p>
      <w:pPr>
        <w:spacing w:after="0" w:line="190"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 COOPER HOLDING COMPANY LLC</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as General Partner</w:t>
      </w:r>
    </w:p>
    <w:p>
      <w:pPr>
        <w:spacing w:after="0" w:line="200" w:lineRule="exact"/>
        <w:rPr>
          <w:sz w:val="20"/>
          <w:szCs w:val="20"/>
          <w:color w:val="auto"/>
        </w:rPr>
      </w:pPr>
    </w:p>
    <w:p>
      <w:pPr>
        <w:spacing w:after="0" w:line="229"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By:___________</w:t>
      </w:r>
      <w:r>
        <w:rPr>
          <w:rFonts w:ascii="Arial" w:cs="Arial" w:eastAsia="Arial" w:hAnsi="Arial"/>
          <w:sz w:val="20"/>
          <w:szCs w:val="20"/>
          <w:u w:val="single" w:color="auto"/>
          <w:color w:val="auto"/>
        </w:rPr>
        <w:t>/s/ Randal L. Golden</w:t>
      </w:r>
      <w:r>
        <w:rPr>
          <w:rFonts w:ascii="Arial" w:cs="Arial" w:eastAsia="Arial" w:hAnsi="Arial"/>
          <w:sz w:val="20"/>
          <w:szCs w:val="20"/>
          <w:color w:val="auto"/>
        </w:rPr>
        <w:t>____________</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Randal L. Golden</w:t>
      </w:r>
    </w:p>
    <w:p>
      <w:pPr>
        <w:ind w:left="558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43" w:lineRule="exact"/>
        <w:rPr>
          <w:sz w:val="20"/>
          <w:szCs w:val="20"/>
          <w:color w:val="auto"/>
        </w:rPr>
      </w:pPr>
    </w:p>
    <w:p>
      <w:pPr>
        <w:ind w:left="5320"/>
        <w:spacing w:after="0" w:line="260" w:lineRule="auto"/>
        <w:rPr>
          <w:sz w:val="20"/>
          <w:szCs w:val="20"/>
          <w:color w:val="auto"/>
        </w:rPr>
      </w:pPr>
      <w:r>
        <w:rPr>
          <w:rFonts w:ascii="Arial" w:cs="Arial" w:eastAsia="Arial" w:hAnsi="Arial"/>
          <w:sz w:val="20"/>
          <w:szCs w:val="20"/>
          <w:color w:val="auto"/>
        </w:rPr>
        <w:t>COOPERSURGICAL NETHERLANDS B.V., as an Additional Revolving Borrower</w:t>
      </w:r>
    </w:p>
    <w:p>
      <w:pPr>
        <w:spacing w:after="0" w:line="200" w:lineRule="exact"/>
        <w:rPr>
          <w:sz w:val="20"/>
          <w:szCs w:val="20"/>
          <w:color w:val="auto"/>
        </w:rPr>
      </w:pPr>
    </w:p>
    <w:p>
      <w:pPr>
        <w:spacing w:after="0" w:line="20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By:___________</w:t>
      </w:r>
      <w:r>
        <w:rPr>
          <w:rFonts w:ascii="Arial" w:cs="Arial" w:eastAsia="Arial" w:hAnsi="Arial"/>
          <w:sz w:val="20"/>
          <w:szCs w:val="20"/>
          <w:u w:val="single" w:color="auto"/>
          <w:color w:val="auto"/>
        </w:rPr>
        <w:t>/s/ Randal L. Golden</w:t>
      </w:r>
      <w:r>
        <w:rPr>
          <w:rFonts w:ascii="Arial" w:cs="Arial" w:eastAsia="Arial" w:hAnsi="Arial"/>
          <w:sz w:val="20"/>
          <w:szCs w:val="20"/>
          <w:color w:val="auto"/>
        </w:rPr>
        <w:t>_____________</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Randal L. Golden</w:t>
      </w:r>
    </w:p>
    <w:p>
      <w:pPr>
        <w:ind w:left="5620"/>
        <w:spacing w:after="0"/>
        <w:rPr>
          <w:sz w:val="20"/>
          <w:szCs w:val="20"/>
          <w:color w:val="auto"/>
        </w:rPr>
      </w:pPr>
      <w:r>
        <w:rPr>
          <w:rFonts w:ascii="Arial" w:cs="Arial" w:eastAsia="Arial" w:hAnsi="Arial"/>
          <w:sz w:val="20"/>
          <w:szCs w:val="20"/>
          <w:color w:val="auto"/>
        </w:rPr>
        <w:t>Title: Managing Director B</w:t>
      </w:r>
    </w:p>
    <w:p>
      <w:pPr>
        <w:spacing w:after="0" w:line="200" w:lineRule="exact"/>
        <w:rPr>
          <w:sz w:val="20"/>
          <w:szCs w:val="20"/>
          <w:color w:val="auto"/>
        </w:rPr>
      </w:pPr>
    </w:p>
    <w:p>
      <w:pPr>
        <w:spacing w:after="0" w:line="243"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COOPERVISION MANUFACTURING COSTA RICA, S.R.L., as an</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Additional Revolving Borrower</w:t>
      </w:r>
    </w:p>
    <w:p>
      <w:pPr>
        <w:spacing w:after="0" w:line="200" w:lineRule="exact"/>
        <w:rPr>
          <w:sz w:val="20"/>
          <w:szCs w:val="20"/>
          <w:color w:val="auto"/>
        </w:rPr>
      </w:pPr>
    </w:p>
    <w:p>
      <w:pPr>
        <w:spacing w:after="0" w:line="229"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By:___________</w:t>
      </w:r>
      <w:r>
        <w:rPr>
          <w:rFonts w:ascii="Arial" w:cs="Arial" w:eastAsia="Arial" w:hAnsi="Arial"/>
          <w:sz w:val="20"/>
          <w:szCs w:val="20"/>
          <w:u w:val="single" w:color="auto"/>
          <w:color w:val="auto"/>
        </w:rPr>
        <w:t>/s/ Randal L. Golden</w:t>
      </w:r>
      <w:r>
        <w:rPr>
          <w:rFonts w:ascii="Arial" w:cs="Arial" w:eastAsia="Arial" w:hAnsi="Arial"/>
          <w:sz w:val="20"/>
          <w:szCs w:val="20"/>
          <w:color w:val="auto"/>
        </w:rPr>
        <w:t>_____________</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Randal L. Golden</w:t>
      </w:r>
    </w:p>
    <w:p>
      <w:pPr>
        <w:ind w:left="56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1260"/>
          </w:cols>
          <w:pgMar w:left="240" w:top="825" w:right="399" w:bottom="1440" w:gutter="0" w:footer="0" w:header="0"/>
        </w:sectPr>
      </w:pPr>
    </w:p>
    <w:bookmarkStart w:id="51" w:name="page52"/>
    <w:bookmarkEnd w:id="51"/>
    <w:p>
      <w:pPr>
        <w:ind w:left="660"/>
        <w:spacing w:after="0"/>
        <w:rPr>
          <w:sz w:val="20"/>
          <w:szCs w:val="20"/>
          <w:color w:val="auto"/>
        </w:rPr>
      </w:pPr>
      <w:r>
        <w:rPr>
          <w:rFonts w:ascii="Arial" w:cs="Arial" w:eastAsia="Arial" w:hAnsi="Arial"/>
          <w:sz w:val="20"/>
          <w:szCs w:val="20"/>
          <w:color w:val="auto"/>
        </w:rPr>
        <w:t>IN WITNESS WHEREOF, this Amendment has been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COOPER COMPANIES, INC., as an Existing Borrower</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By:______________________________________</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Randal L. Golden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 Vice President, General Counsel &amp; Secretary</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COOPERVISION INTERNATIONAL HOLDING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COMPANY, LP, as an Existing Borrower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COOPER HOLDING COMPANY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General Partner</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By:______________________________________</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Randal L. Golden</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COOPERSURGICAL NETHERLANDS B.V., as 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Additional Revolving Borrower</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By:_____/s/ E.J.F. Langemeijer__/s/ AMC van Zuilen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E.J.F. Langemeijer AMC van Zuilen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 Director A</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COOPERVISION MANUFACTURING COSTA RICA,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S.R.L., as an Additional Revolving Borrower</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By:______________________________________</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Randal L. Golden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1180"/>
          </w:cols>
          <w:pgMar w:left="240" w:top="825" w:right="479" w:bottom="1440" w:gutter="0" w:footer="0" w:header="0"/>
        </w:sectPr>
      </w:pPr>
    </w:p>
    <w:bookmarkStart w:id="52" w:name="page53"/>
    <w:bookmarkEnd w:id="52"/>
    <w:p>
      <w:pPr>
        <w:jc w:val="right"/>
        <w:ind w:right="580"/>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as the Administrative Agent and a Lender</w:t>
      </w:r>
    </w:p>
    <w:p>
      <w:pPr>
        <w:spacing w:after="0" w:line="211"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By:_____/s/ Marianne T. Meil ________________</w:t>
      </w:r>
    </w:p>
    <w:p>
      <w:pPr>
        <w:spacing w:after="0" w:line="4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Marianne T. Meil</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600"/>
          </w:cols>
          <w:pgMar w:left="240" w:top="1273" w:right="1059" w:bottom="1440" w:gutter="0" w:footer="0" w:header="0"/>
        </w:sectPr>
      </w:pPr>
    </w:p>
    <w:bookmarkStart w:id="53" w:name="page54"/>
    <w:bookmarkEnd w:id="53"/>
    <w:p>
      <w:pPr>
        <w:jc w:val="center"/>
        <w:ind w:right="-1160"/>
        <w:spacing w:after="0"/>
        <w:rPr>
          <w:sz w:val="20"/>
          <w:szCs w:val="20"/>
          <w:color w:val="auto"/>
        </w:rPr>
      </w:pPr>
      <w:r>
        <w:rPr>
          <w:rFonts w:ascii="Arial" w:cs="Arial" w:eastAsia="Arial" w:hAnsi="Arial"/>
          <w:sz w:val="20"/>
          <w:szCs w:val="20"/>
          <w:color w:val="auto"/>
        </w:rPr>
        <w:t>Each of the undersigned Subsidiary</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Guarantors acknowledges the terms of and</w:t>
      </w:r>
    </w:p>
    <w:p>
      <w:pPr>
        <w:jc w:val="center"/>
        <w:ind w:right="-1220"/>
        <w:spacing w:after="0"/>
        <w:rPr>
          <w:sz w:val="20"/>
          <w:szCs w:val="20"/>
          <w:color w:val="auto"/>
        </w:rPr>
      </w:pPr>
      <w:r>
        <w:rPr>
          <w:rFonts w:ascii="Arial" w:cs="Arial" w:eastAsia="Arial" w:hAnsi="Arial"/>
          <w:sz w:val="20"/>
          <w:szCs w:val="20"/>
          <w:color w:val="auto"/>
        </w:rPr>
        <w:t>consents to the foregoing:</w:t>
      </w:r>
    </w:p>
    <w:p>
      <w:pPr>
        <w:spacing w:after="0" w:line="200" w:lineRule="exact"/>
        <w:rPr>
          <w:sz w:val="20"/>
          <w:szCs w:val="20"/>
          <w:color w:val="auto"/>
        </w:rPr>
      </w:pP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COOPERVISION, INC.</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By:______</w:t>
      </w:r>
      <w:r>
        <w:rPr>
          <w:rFonts w:ascii="Arial" w:cs="Arial" w:eastAsia="Arial" w:hAnsi="Arial"/>
          <w:sz w:val="18"/>
          <w:szCs w:val="18"/>
          <w:u w:val="single" w:color="auto"/>
          <w:color w:val="auto"/>
        </w:rPr>
        <w:t>/s/ Randal L. Golden</w:t>
      </w:r>
      <w:r>
        <w:rPr>
          <w:rFonts w:ascii="Arial" w:cs="Arial" w:eastAsia="Arial" w:hAnsi="Arial"/>
          <w:sz w:val="18"/>
          <w:szCs w:val="18"/>
          <w:color w:val="auto"/>
        </w:rPr>
        <w:t>_____________</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 Randal L. Golden</w:t>
      </w:r>
    </w:p>
    <w:p>
      <w:pPr>
        <w:jc w:val="right"/>
        <w:ind w:right="2479"/>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COOPERSURGICAL, INC.</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By:______</w:t>
      </w:r>
      <w:r>
        <w:rPr>
          <w:rFonts w:ascii="Arial" w:cs="Arial" w:eastAsia="Arial" w:hAnsi="Arial"/>
          <w:sz w:val="18"/>
          <w:szCs w:val="18"/>
          <w:u w:val="single" w:color="auto"/>
          <w:color w:val="auto"/>
        </w:rPr>
        <w:t>/s/ Randal L. Golden</w:t>
      </w:r>
      <w:r>
        <w:rPr>
          <w:rFonts w:ascii="Arial" w:cs="Arial" w:eastAsia="Arial" w:hAnsi="Arial"/>
          <w:sz w:val="18"/>
          <w:szCs w:val="18"/>
          <w:color w:val="auto"/>
        </w:rPr>
        <w:t>_____________</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 Randal L. Golden</w:t>
      </w:r>
    </w:p>
    <w:p>
      <w:pPr>
        <w:jc w:val="right"/>
        <w:ind w:right="2479"/>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243"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COOPER MEDICAL, INC.</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By:______</w:t>
      </w:r>
      <w:r>
        <w:rPr>
          <w:rFonts w:ascii="Arial" w:cs="Arial" w:eastAsia="Arial" w:hAnsi="Arial"/>
          <w:sz w:val="18"/>
          <w:szCs w:val="18"/>
          <w:u w:val="single" w:color="auto"/>
          <w:color w:val="auto"/>
        </w:rPr>
        <w:t>/s/ Randal L. Golden</w:t>
      </w:r>
      <w:r>
        <w:rPr>
          <w:rFonts w:ascii="Arial" w:cs="Arial" w:eastAsia="Arial" w:hAnsi="Arial"/>
          <w:sz w:val="18"/>
          <w:szCs w:val="18"/>
          <w:color w:val="auto"/>
        </w:rPr>
        <w:t>_____________</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 Randal L. Golden</w:t>
      </w:r>
    </w:p>
    <w:p>
      <w:pPr>
        <w:jc w:val="right"/>
        <w:ind w:right="2479"/>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ORIGIO, INC.</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By:______</w:t>
      </w:r>
      <w:r>
        <w:rPr>
          <w:rFonts w:ascii="Arial" w:cs="Arial" w:eastAsia="Arial" w:hAnsi="Arial"/>
          <w:sz w:val="18"/>
          <w:szCs w:val="18"/>
          <w:u w:val="single" w:color="auto"/>
          <w:color w:val="auto"/>
        </w:rPr>
        <w:t>/s/ Randal L. Golden</w:t>
      </w:r>
      <w:r>
        <w:rPr>
          <w:rFonts w:ascii="Arial" w:cs="Arial" w:eastAsia="Arial" w:hAnsi="Arial"/>
          <w:sz w:val="18"/>
          <w:szCs w:val="18"/>
          <w:color w:val="auto"/>
        </w:rPr>
        <w:t>_____________</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 Randal L. Golden</w:t>
      </w:r>
    </w:p>
    <w:p>
      <w:pPr>
        <w:jc w:val="right"/>
        <w:ind w:right="2479"/>
        <w:spacing w:after="0"/>
        <w:rPr>
          <w:sz w:val="20"/>
          <w:szCs w:val="20"/>
          <w:color w:val="auto"/>
        </w:rPr>
      </w:pPr>
      <w:r>
        <w:rPr>
          <w:rFonts w:ascii="Arial" w:cs="Arial" w:eastAsia="Arial" w:hAnsi="Arial"/>
          <w:sz w:val="20"/>
          <w:szCs w:val="20"/>
          <w:color w:val="auto"/>
        </w:rPr>
        <w:t>Title: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4" w:name="page55"/>
    <w:bookmarkEnd w:id="54"/>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Bank of America,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 :_______</w:t>
      </w:r>
      <w:r>
        <w:rPr>
          <w:rFonts w:ascii="Arial" w:cs="Arial" w:eastAsia="Arial" w:hAnsi="Arial"/>
          <w:sz w:val="20"/>
          <w:szCs w:val="20"/>
          <w:u w:val="single" w:color="auto"/>
          <w:color w:val="auto"/>
        </w:rPr>
        <w:t>/s/ Sebastian Lurie</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Sebastian Lurie</w:t>
      </w:r>
    </w:p>
    <w:p>
      <w:pPr>
        <w:ind w:left="536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5" w:name="page56"/>
    <w:bookmarkEnd w:id="55"/>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Name of Institution: Bank of the West</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 :_______</w:t>
      </w:r>
      <w:r>
        <w:rPr>
          <w:rFonts w:ascii="Arial" w:cs="Arial" w:eastAsia="Arial" w:hAnsi="Arial"/>
          <w:sz w:val="20"/>
          <w:szCs w:val="20"/>
          <w:u w:val="single" w:color="auto"/>
          <w:color w:val="auto"/>
        </w:rPr>
        <w:t>/s/ Adriana Collins</w:t>
      </w:r>
      <w:r>
        <w:rPr>
          <w:rFonts w:ascii="Arial" w:cs="Arial" w:eastAsia="Arial" w:hAnsi="Arial"/>
          <w:sz w:val="20"/>
          <w:szCs w:val="20"/>
          <w:color w:val="auto"/>
        </w:rPr>
        <w:t xml:space="preserve"> 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Adriana Collins</w:t>
      </w:r>
    </w:p>
    <w:p>
      <w:pPr>
        <w:ind w:left="53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6" w:name="page57"/>
    <w:bookmarkEnd w:id="56"/>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 xml:space="preserve">Name of Institution: </w:t>
      </w:r>
      <w:r>
        <w:rPr>
          <w:rFonts w:ascii="Arial" w:cs="Arial" w:eastAsia="Arial" w:hAnsi="Arial"/>
          <w:sz w:val="20"/>
          <w:szCs w:val="20"/>
          <w:u w:val="single" w:color="auto"/>
          <w:color w:val="auto"/>
        </w:rPr>
        <w:t>Branch Banking and Trust Company,</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Erron Powers</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Erron Powers</w:t>
      </w:r>
    </w:p>
    <w:p>
      <w:pPr>
        <w:ind w:left="53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7" w:name="page58"/>
    <w:bookmarkEnd w:id="57"/>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Name of Institution: CITIBANK,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By:_______</w:t>
      </w:r>
      <w:r>
        <w:rPr>
          <w:rFonts w:ascii="Arial" w:cs="Arial" w:eastAsia="Arial" w:hAnsi="Arial"/>
          <w:sz w:val="19"/>
          <w:szCs w:val="19"/>
          <w:u w:val="single" w:color="auto"/>
          <w:color w:val="auto"/>
        </w:rPr>
        <w:t>/s/ Eugene Yermash</w:t>
      </w:r>
      <w:r>
        <w:rPr>
          <w:rFonts w:ascii="Arial" w:cs="Arial" w:eastAsia="Arial" w:hAnsi="Arial"/>
          <w:sz w:val="19"/>
          <w:szCs w:val="19"/>
          <w:color w:val="auto"/>
        </w:rPr>
        <w:t xml:space="preserve"> ___________</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Eugene Yermash</w:t>
      </w:r>
    </w:p>
    <w:p>
      <w:pPr>
        <w:ind w:left="5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8" w:name="page59"/>
    <w:bookmarkEnd w:id="58"/>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Name of Institution: Citizens Bank,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Mark Guyeski</w:t>
      </w:r>
      <w:r>
        <w:rPr>
          <w:rFonts w:ascii="Arial" w:cs="Arial" w:eastAsia="Arial" w:hAnsi="Arial"/>
          <w:sz w:val="20"/>
          <w:szCs w:val="20"/>
          <w:color w:val="auto"/>
        </w:rPr>
        <w:t xml:space="preserve"> 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Mark Guyeski</w:t>
      </w:r>
    </w:p>
    <w:p>
      <w:pPr>
        <w:ind w:left="5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59" w:name="page60"/>
    <w:bookmarkEnd w:id="59"/>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Name of Institution: DNB Capital LLC</w:t>
      </w: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Kristie Li /s/ Kristi Birkeland Sorensen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Kristie Li Kristi Birkeland Sorensen</w:t>
      </w:r>
    </w:p>
    <w:p>
      <w:pPr>
        <w:ind w:left="5260"/>
        <w:spacing w:after="0"/>
        <w:rPr>
          <w:sz w:val="20"/>
          <w:szCs w:val="20"/>
          <w:color w:val="auto"/>
        </w:rPr>
      </w:pPr>
      <w:r>
        <w:rPr>
          <w:rFonts w:ascii="Arial" w:cs="Arial" w:eastAsia="Arial" w:hAnsi="Arial"/>
          <w:sz w:val="20"/>
          <w:szCs w:val="20"/>
          <w:color w:val="auto"/>
        </w:rPr>
        <w:t>Title: Senior Vice Senior Vice</w:t>
      </w:r>
    </w:p>
    <w:p>
      <w:pPr>
        <w:ind w:left="5120"/>
        <w:spacing w:after="0"/>
        <w:rPr>
          <w:sz w:val="20"/>
          <w:szCs w:val="20"/>
          <w:color w:val="auto"/>
        </w:rPr>
      </w:pPr>
      <w:r>
        <w:rPr>
          <w:rFonts w:ascii="Arial" w:cs="Arial" w:eastAsia="Arial" w:hAnsi="Arial"/>
          <w:sz w:val="20"/>
          <w:szCs w:val="20"/>
          <w:color w:val="auto"/>
        </w:rPr>
        <w:t>President President</w:t>
      </w:r>
    </w:p>
    <w:p>
      <w:pPr>
        <w:ind w:left="5120"/>
        <w:spacing w:after="0"/>
        <w:rPr>
          <w:sz w:val="20"/>
          <w:szCs w:val="20"/>
          <w:color w:val="auto"/>
        </w:rPr>
      </w:pPr>
      <w:r>
        <w:rPr>
          <w:rFonts w:ascii="Arial" w:cs="Arial" w:eastAsia="Arial" w:hAnsi="Arial"/>
          <w:sz w:val="20"/>
          <w:szCs w:val="20"/>
          <w:color w:val="auto"/>
        </w:rPr>
        <w:t>Head of Corporate</w:t>
      </w:r>
    </w:p>
    <w:p>
      <w:pPr>
        <w:ind w:left="8420"/>
        <w:spacing w:after="0"/>
        <w:rPr>
          <w:sz w:val="20"/>
          <w:szCs w:val="20"/>
          <w:color w:val="auto"/>
        </w:rPr>
      </w:pPr>
      <w:r>
        <w:rPr>
          <w:rFonts w:ascii="Arial" w:cs="Arial" w:eastAsia="Arial" w:hAnsi="Arial"/>
          <w:sz w:val="20"/>
          <w:szCs w:val="20"/>
          <w:color w:val="auto"/>
        </w:rPr>
        <w:t>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0" w:name="page61"/>
    <w:bookmarkEnd w:id="60"/>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JPMorgan Chase,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Lynn Braun</w:t>
      </w:r>
      <w:r>
        <w:rPr>
          <w:rFonts w:ascii="Arial" w:cs="Arial" w:eastAsia="Arial" w:hAnsi="Arial"/>
          <w:sz w:val="20"/>
          <w:szCs w:val="20"/>
          <w:color w:val="auto"/>
        </w:rPr>
        <w:t>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Lynn Braun</w:t>
      </w:r>
    </w:p>
    <w:p>
      <w:pPr>
        <w:ind w:left="536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1" w:name="page62"/>
    <w:bookmarkEnd w:id="61"/>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KBC Bank N.V., New York Branch</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Nicholas Fiore</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Nicholas Fiore</w:t>
      </w:r>
    </w:p>
    <w:p>
      <w:pPr>
        <w:ind w:left="53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Susan M. Silver</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Susan M. Silver</w:t>
      </w:r>
    </w:p>
    <w:p>
      <w:pPr>
        <w:ind w:left="53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2" w:name="page63"/>
    <w:bookmarkEnd w:id="62"/>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Lloyds Bank Corporate Markets plc</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Enn Walsh</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Enn Walsh</w:t>
      </w:r>
    </w:p>
    <w:p>
      <w:pPr>
        <w:ind w:left="5360"/>
        <w:spacing w:after="0"/>
        <w:rPr>
          <w:sz w:val="20"/>
          <w:szCs w:val="20"/>
          <w:color w:val="auto"/>
        </w:rPr>
      </w:pPr>
      <w:r>
        <w:rPr>
          <w:rFonts w:ascii="Arial" w:cs="Arial" w:eastAsia="Arial" w:hAnsi="Arial"/>
          <w:sz w:val="20"/>
          <w:szCs w:val="20"/>
          <w:color w:val="auto"/>
        </w:rPr>
        <w:t>Title: Assistant Vice President</w:t>
      </w:r>
    </w:p>
    <w:p>
      <w:pPr>
        <w:ind w:left="6580"/>
        <w:spacing w:after="0"/>
        <w:rPr>
          <w:sz w:val="20"/>
          <w:szCs w:val="20"/>
          <w:color w:val="auto"/>
        </w:rPr>
      </w:pPr>
      <w:r>
        <w:rPr>
          <w:rFonts w:ascii="Arial" w:cs="Arial" w:eastAsia="Arial" w:hAnsi="Arial"/>
          <w:sz w:val="20"/>
          <w:szCs w:val="20"/>
          <w:color w:val="auto"/>
        </w:rPr>
        <w:t>Transaction Execution</w:t>
      </w:r>
    </w:p>
    <w:p>
      <w:pPr>
        <w:ind w:left="6960"/>
        <w:spacing w:after="0"/>
        <w:rPr>
          <w:sz w:val="20"/>
          <w:szCs w:val="20"/>
          <w:color w:val="auto"/>
        </w:rPr>
      </w:pPr>
      <w:r>
        <w:rPr>
          <w:rFonts w:ascii="Arial" w:cs="Arial" w:eastAsia="Arial" w:hAnsi="Arial"/>
          <w:sz w:val="20"/>
          <w:szCs w:val="20"/>
          <w:color w:val="auto"/>
        </w:rPr>
        <w:t>Category A</w:t>
      </w:r>
    </w:p>
    <w:p>
      <w:pPr>
        <w:ind w:left="7160"/>
        <w:spacing w:after="0"/>
        <w:rPr>
          <w:sz w:val="20"/>
          <w:szCs w:val="20"/>
          <w:color w:val="auto"/>
        </w:rPr>
      </w:pPr>
      <w:r>
        <w:rPr>
          <w:rFonts w:ascii="Arial" w:cs="Arial" w:eastAsia="Arial" w:hAnsi="Arial"/>
          <w:sz w:val="20"/>
          <w:szCs w:val="20"/>
          <w:color w:val="auto"/>
        </w:rPr>
        <w:t>W004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Daven Popat</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Daven Popat</w:t>
      </w:r>
    </w:p>
    <w:p>
      <w:pPr>
        <w:ind w:left="5360"/>
        <w:spacing w:after="0"/>
        <w:rPr>
          <w:sz w:val="20"/>
          <w:szCs w:val="20"/>
          <w:color w:val="auto"/>
        </w:rPr>
      </w:pPr>
      <w:r>
        <w:rPr>
          <w:rFonts w:ascii="Arial" w:cs="Arial" w:eastAsia="Arial" w:hAnsi="Arial"/>
          <w:sz w:val="20"/>
          <w:szCs w:val="20"/>
          <w:color w:val="auto"/>
        </w:rPr>
        <w:t>Title: Senior Vice President</w:t>
      </w:r>
    </w:p>
    <w:p>
      <w:pPr>
        <w:ind w:left="6580"/>
        <w:spacing w:after="0"/>
        <w:rPr>
          <w:sz w:val="20"/>
          <w:szCs w:val="20"/>
          <w:color w:val="auto"/>
        </w:rPr>
      </w:pPr>
      <w:r>
        <w:rPr>
          <w:rFonts w:ascii="Arial" w:cs="Arial" w:eastAsia="Arial" w:hAnsi="Arial"/>
          <w:sz w:val="20"/>
          <w:szCs w:val="20"/>
          <w:color w:val="auto"/>
        </w:rPr>
        <w:t>Transaction Execution</w:t>
      </w:r>
    </w:p>
    <w:p>
      <w:pPr>
        <w:ind w:left="6960"/>
        <w:spacing w:after="0"/>
        <w:rPr>
          <w:sz w:val="20"/>
          <w:szCs w:val="20"/>
          <w:color w:val="auto"/>
        </w:rPr>
      </w:pPr>
      <w:r>
        <w:rPr>
          <w:rFonts w:ascii="Arial" w:cs="Arial" w:eastAsia="Arial" w:hAnsi="Arial"/>
          <w:sz w:val="20"/>
          <w:szCs w:val="20"/>
          <w:color w:val="auto"/>
        </w:rPr>
        <w:t>Category A</w:t>
      </w:r>
    </w:p>
    <w:p>
      <w:pPr>
        <w:ind w:left="7220"/>
        <w:spacing w:after="0"/>
        <w:rPr>
          <w:sz w:val="20"/>
          <w:szCs w:val="20"/>
          <w:color w:val="auto"/>
        </w:rPr>
      </w:pPr>
      <w:r>
        <w:rPr>
          <w:rFonts w:ascii="Arial" w:cs="Arial" w:eastAsia="Arial" w:hAnsi="Arial"/>
          <w:sz w:val="20"/>
          <w:szCs w:val="20"/>
          <w:color w:val="auto"/>
        </w:rPr>
        <w:t>P003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3" w:name="page64"/>
    <w:bookmarkEnd w:id="63"/>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MUFG Union Bank,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Kenneth J. Beck</w:t>
      </w:r>
      <w:r>
        <w:rPr>
          <w:rFonts w:ascii="Arial" w:cs="Arial" w:eastAsia="Arial" w:hAnsi="Arial"/>
          <w:sz w:val="20"/>
          <w:szCs w:val="20"/>
          <w:color w:val="auto"/>
        </w:rPr>
        <w:t>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Kenneth J. Beck</w:t>
      </w:r>
    </w:p>
    <w:p>
      <w:pPr>
        <w:ind w:left="53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4" w:name="page65"/>
    <w:bookmarkEnd w:id="64"/>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PNC Bank, National Association</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Jennifer L. Shafer</w:t>
      </w:r>
      <w:r>
        <w:rPr>
          <w:rFonts w:ascii="Arial" w:cs="Arial" w:eastAsia="Arial" w:hAnsi="Arial"/>
          <w:sz w:val="20"/>
          <w:szCs w:val="20"/>
          <w:color w:val="auto"/>
        </w:rPr>
        <w:t>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Jennifer L. Shafer</w:t>
      </w:r>
    </w:p>
    <w:p>
      <w:pPr>
        <w:ind w:left="5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5" w:name="page66"/>
    <w:bookmarkEnd w:id="65"/>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Name of Institution: REGIONS BANK</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Ned Spitzer</w:t>
      </w:r>
      <w:r>
        <w:rPr>
          <w:rFonts w:ascii="Arial" w:cs="Arial" w:eastAsia="Arial" w:hAnsi="Arial"/>
          <w:sz w:val="20"/>
          <w:szCs w:val="20"/>
          <w:color w:val="auto"/>
        </w:rPr>
        <w:t>___________</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Name: Ned Spitzer</w:t>
      </w:r>
    </w:p>
    <w:p>
      <w:pPr>
        <w:ind w:left="52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6" w:name="page67"/>
    <w:bookmarkEnd w:id="66"/>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Name of Institution: TD Bank, N.A.</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Shreya Shah</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Shreya Shah</w:t>
      </w:r>
    </w:p>
    <w:p>
      <w:pPr>
        <w:ind w:left="53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7" w:name="page68"/>
    <w:bookmarkEnd w:id="67"/>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U.S. BANK NATIONAL ASSOCIATION</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Tom Priedman</w:t>
      </w:r>
      <w:r>
        <w:rPr>
          <w:rFonts w:ascii="Arial" w:cs="Arial" w:eastAsia="Arial" w:hAnsi="Arial"/>
          <w:sz w:val="20"/>
          <w:szCs w:val="20"/>
          <w:color w:val="auto"/>
        </w:rPr>
        <w:t>___________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Tom Priedman</w:t>
      </w:r>
    </w:p>
    <w:p>
      <w:pPr>
        <w:ind w:left="5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8" w:name="page69"/>
    <w:bookmarkEnd w:id="68"/>
    <w:p>
      <w:pPr>
        <w:jc w:val="center"/>
        <w:ind w:right="-1220"/>
        <w:spacing w:after="0"/>
        <w:rPr>
          <w:sz w:val="20"/>
          <w:szCs w:val="20"/>
          <w:color w:val="auto"/>
        </w:rPr>
      </w:pPr>
      <w:r>
        <w:rPr>
          <w:rFonts w:ascii="Arial" w:cs="Arial" w:eastAsia="Arial" w:hAnsi="Arial"/>
          <w:sz w:val="20"/>
          <w:szCs w:val="20"/>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Joinder and Amendment No. 1 to Revolving Credit and Term Loan Agreement,</w:t>
      </w:r>
    </w:p>
    <w:p>
      <w:pPr>
        <w:jc w:val="center"/>
        <w:ind w:right="-1220"/>
        <w:spacing w:after="0"/>
        <w:rPr>
          <w:sz w:val="20"/>
          <w:szCs w:val="20"/>
          <w:color w:val="auto"/>
        </w:rPr>
      </w:pPr>
      <w:r>
        <w:rPr>
          <w:rFonts w:ascii="Arial" w:cs="Arial" w:eastAsia="Arial" w:hAnsi="Arial"/>
          <w:sz w:val="20"/>
          <w:szCs w:val="20"/>
          <w:color w:val="auto"/>
        </w:rPr>
        <w:t>dated as of the date first above written,</w:t>
      </w:r>
    </w:p>
    <w:p>
      <w:pPr>
        <w:jc w:val="center"/>
        <w:ind w:right="-1220"/>
        <w:spacing w:after="0"/>
        <w:rPr>
          <w:sz w:val="20"/>
          <w:szCs w:val="20"/>
          <w:color w:val="auto"/>
        </w:rPr>
      </w:pPr>
      <w:r>
        <w:rPr>
          <w:rFonts w:ascii="Arial" w:cs="Arial" w:eastAsia="Arial" w:hAnsi="Arial"/>
          <w:sz w:val="18"/>
          <w:szCs w:val="18"/>
          <w:color w:val="auto"/>
        </w:rPr>
        <w:t>among The Cooper Companies, Inc. and CooperVision International Holding Company, LP,</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Existing Borrowers,</w:t>
      </w:r>
    </w:p>
    <w:p>
      <w:pPr>
        <w:jc w:val="center"/>
        <w:ind w:right="-1220"/>
        <w:spacing w:after="0"/>
        <w:rPr>
          <w:sz w:val="20"/>
          <w:szCs w:val="20"/>
          <w:color w:val="auto"/>
        </w:rPr>
      </w:pPr>
      <w:r>
        <w:rPr>
          <w:rFonts w:ascii="Arial" w:cs="Arial" w:eastAsia="Arial" w:hAnsi="Arial"/>
          <w:sz w:val="18"/>
          <w:szCs w:val="18"/>
          <w:color w:val="auto"/>
        </w:rPr>
        <w:t>CooperSurgical Netherlands B.V. and CooperVision Manufacturing Costa Rica, S.R.L.,</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as the Joining Borrowers</w:t>
      </w:r>
    </w:p>
    <w:p>
      <w:pPr>
        <w:jc w:val="center"/>
        <w:ind w:right="-1220"/>
        <w:spacing w:after="0"/>
        <w:rPr>
          <w:sz w:val="20"/>
          <w:szCs w:val="20"/>
          <w:color w:val="auto"/>
        </w:rPr>
      </w:pPr>
      <w:r>
        <w:rPr>
          <w:rFonts w:ascii="Arial" w:cs="Arial" w:eastAsia="Arial" w:hAnsi="Arial"/>
          <w:sz w:val="20"/>
          <w:szCs w:val="20"/>
          <w:color w:val="auto"/>
        </w:rPr>
        <w:t>KeyBank National Association, as the Administrative Agent,</w:t>
      </w:r>
    </w:p>
    <w:p>
      <w:pPr>
        <w:jc w:val="center"/>
        <w:ind w:right="-12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of Institution: Wells Fargo Bank, National Association</w:t>
      </w: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w:t>
      </w:r>
      <w:r>
        <w:rPr>
          <w:rFonts w:ascii="Arial" w:cs="Arial" w:eastAsia="Arial" w:hAnsi="Arial"/>
          <w:sz w:val="20"/>
          <w:szCs w:val="20"/>
          <w:u w:val="single" w:color="auto"/>
          <w:color w:val="auto"/>
        </w:rPr>
        <w:t>/s/ Andrea S Chen</w:t>
      </w:r>
      <w:r>
        <w:rPr>
          <w:rFonts w:ascii="Arial" w:cs="Arial" w:eastAsia="Arial" w:hAnsi="Arial"/>
          <w:sz w:val="20"/>
          <w:szCs w:val="20"/>
          <w:color w:val="auto"/>
        </w:rPr>
        <w:t>__________</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Andrea S Chen</w:t>
      </w:r>
    </w:p>
    <w:p>
      <w:pPr>
        <w:ind w:left="53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NAI-1506002948</w:t>
      </w:r>
    </w:p>
    <w:p>
      <w:pPr>
        <w:sectPr>
          <w:pgSz w:w="11900" w:h="16838" w:orient="portrait"/>
          <w:cols w:equalWidth="0" w:num="1">
            <w:col w:w="10219"/>
          </w:cols>
          <w:pgMar w:left="240" w:top="595"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6, 2019</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2255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6, 2019</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January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January 31,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Roman"/>
      <w:start w:val="2"/>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upperLetter"/>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24">
    <w:nsid w:val="737B8DDC"/>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abstractNum>
  <w:abstractNum w:abstractNumId="25">
    <w:nsid w:val="6CEAF087"/>
    <w:multiLevelType w:val="hybridMultilevel"/>
    <w:lvl w:ilvl="0">
      <w:lvlJc w:val="left"/>
      <w:lvlText w:val="(%1)"/>
      <w:numFmt w:val="upperLetter"/>
      <w:start w:val="4"/>
    </w:lvl>
  </w:abstractNum>
  <w:abstractNum w:abstractNumId="26">
    <w:nsid w:val="22221A70"/>
    <w:multiLevelType w:val="hybridMultilevel"/>
    <w:lvl w:ilvl="0">
      <w:lvlJc w:val="left"/>
      <w:lvlText w:val="%1"/>
      <w:numFmt w:val="lowerLetter"/>
      <w:start w:val="1"/>
    </w:lvl>
    <w:lvl w:ilvl="1">
      <w:lvlJc w:val="left"/>
      <w:lvlText w:val="(%2)"/>
      <w:numFmt w:val="upperLetter"/>
      <w:start w:val="6"/>
    </w:lvl>
  </w:abstractNum>
  <w:abstractNum w:abstractNumId="27">
    <w:nsid w:val="4516DDE9"/>
    <w:multiLevelType w:val="hybridMultilevel"/>
    <w:lvl w:ilvl="0">
      <w:lvlJc w:val="left"/>
      <w:lvlText w:val="(%1)"/>
      <w:numFmt w:val="lowerLetter"/>
      <w:start w:val="4"/>
    </w:lvl>
    <w:lvl w:ilvl="1">
      <w:lvlJc w:val="left"/>
      <w:lvlText w:val="%2"/>
      <w:numFmt w:val="upperLetter"/>
      <w:start w:val="1"/>
    </w:lvl>
  </w:abstractNum>
  <w:abstractNum w:abstractNumId="28">
    <w:nsid w:val="3006C83E"/>
    <w:multiLevelType w:val="hybridMultilevel"/>
    <w:lvl w:ilvl="0">
      <w:lvlJc w:val="left"/>
      <w:lvlText w:val="(%1)"/>
      <w:numFmt w:val="lowerLetter"/>
      <w:start w:val="5"/>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4"/>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2019-12-28T15:26:23Z</dcterms:created>
  <dcterms:modified xsi:type="dcterms:W3CDTF">2019-12-28T15:26:23Z</dcterms:modified>
</cp:coreProperties>
</file>