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274" w:right="339" w:bottom="1440" w:gutter="0" w:footer="0" w:header="0"/>
        </w:sectPr>
      </w:pPr>
    </w:p>
    <w:p>
      <w:pPr>
        <w:spacing w:after="0" w:line="122" w:lineRule="exact"/>
        <w:rPr>
          <w:sz w:val="24"/>
          <w:szCs w:val="24"/>
          <w:color w:val="auto"/>
        </w:rPr>
      </w:pP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9" w:lineRule="exact"/>
        <w:rPr>
          <w:sz w:val="24"/>
          <w:szCs w:val="24"/>
          <w:color w:val="auto"/>
        </w:rPr>
      </w:pPr>
    </w:p>
    <w:p>
      <w:pPr>
        <w:sectPr>
          <w:pgSz w:w="11900" w:h="16838" w:orient="portrait"/>
          <w:cols w:equalWidth="0" w:num="2">
            <w:col w:w="1340" w:space="720"/>
            <w:col w:w="9180"/>
          </w:cols>
          <w:pgMar w:left="320" w:top="27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quarterly period ended January 31, 2020</w:t>
      </w:r>
    </w:p>
    <w:p>
      <w:pPr>
        <w:sectPr>
          <w:pgSz w:w="11900" w:h="16838" w:orient="portrait"/>
          <w:cols w:equalWidth="0" w:num="1">
            <w:col w:w="11240"/>
          </w:cols>
          <w:pgMar w:left="320" w:top="274" w:right="339" w:bottom="1440" w:gutter="0" w:footer="0" w:header="0"/>
          <w:type w:val="continuous"/>
        </w:sectPr>
      </w:pPr>
    </w:p>
    <w:p>
      <w:pPr>
        <w:spacing w:after="0" w:line="139" w:lineRule="exact"/>
        <w:rPr>
          <w:sz w:val="24"/>
          <w:szCs w:val="24"/>
          <w:color w:val="auto"/>
        </w:rPr>
      </w:pP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40" w:space="720"/>
            <w:col w:w="9180"/>
          </w:cols>
          <w:pgMar w:left="320" w:top="274" w:right="339" w:bottom="1440" w:gutter="0" w:footer="0" w:header="0"/>
          <w:type w:val="continuous"/>
        </w:sect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27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274" w:right="339" w:bottom="1440" w:gutter="0" w:footer="0" w:header="0"/>
          <w:type w:val="continuous"/>
        </w:sectPr>
      </w:pPr>
    </w:p>
    <w:p>
      <w:pPr>
        <w:spacing w:after="0" w:line="205" w:lineRule="exact"/>
        <w:rPr>
          <w:sz w:val="24"/>
          <w:szCs w:val="24"/>
          <w:color w:val="auto"/>
        </w:rPr>
      </w:pPr>
    </w:p>
    <w:p>
      <w:pPr>
        <w:ind w:left="26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82" w:lineRule="exact"/>
        <w:rPr>
          <w:sz w:val="24"/>
          <w:szCs w:val="24"/>
          <w:color w:val="auto"/>
        </w:rPr>
      </w:pPr>
    </w:p>
    <w:p>
      <w:pPr>
        <w:sectPr>
          <w:pgSz w:w="11900" w:h="16838" w:orient="portrait"/>
          <w:cols w:equalWidth="0" w:num="2">
            <w:col w:w="7500" w:space="720"/>
            <w:col w:w="3020"/>
          </w:cols>
          <w:pgMar w:left="320" w:top="274" w:right="33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380" w:space="720"/>
            <w:col w:w="3140"/>
          </w:cols>
          <w:pgMar w:left="320" w:top="27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2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Common Stock, $.10 par value</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COO</w:t>
            </w:r>
          </w:p>
        </w:tc>
        <w:tc>
          <w:tcPr>
            <w:tcW w:w="4820" w:type="dxa"/>
            <w:vAlign w:val="bottom"/>
          </w:tcPr>
          <w:p>
            <w:pPr>
              <w:ind w:left="40"/>
              <w:spacing w:after="0"/>
              <w:rPr>
                <w:sz w:val="20"/>
                <w:szCs w:val="20"/>
                <w:color w:val="auto"/>
              </w:rPr>
            </w:pPr>
            <w:r>
              <w:rPr>
                <w:rFonts w:ascii="Arial" w:cs="Arial" w:eastAsia="Arial" w:hAnsi="Arial"/>
                <w:sz w:val="18"/>
                <w:szCs w:val="18"/>
                <w:color w:val="auto"/>
              </w:rPr>
              <w:t>The New York Stock Exchange</w:t>
            </w:r>
          </w:p>
        </w:tc>
      </w:tr>
    </w:tbl>
    <w:p>
      <w:pPr>
        <w:spacing w:after="0" w:line="6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838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issuer’s classes of common stock, as of the latest practicable date.</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On February 26, 2020, 53,330,450 shares of Common Stock, $.10 par value, were outstanding.</w:t>
      </w:r>
    </w:p>
    <w:p>
      <w:pPr>
        <w:sectPr>
          <w:pgSz w:w="11900" w:h="16838" w:orient="portrait"/>
          <w:cols w:equalWidth="0" w:num="1">
            <w:col w:w="11240"/>
          </w:cols>
          <w:pgMar w:left="320" w:top="27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8"/>
          </w:tcPr>
          <w:p>
            <w:pPr>
              <w:ind w:left="80"/>
              <w:spacing w:after="0"/>
              <w:rPr>
                <w:sz w:val="20"/>
                <w:szCs w:val="20"/>
                <w:color w:val="auto"/>
              </w:rPr>
            </w:pPr>
            <w:r>
              <w:rPr>
                <w:rFonts w:ascii="Arial" w:cs="Arial" w:eastAsia="Arial" w:hAnsi="Arial"/>
                <w:sz w:val="18"/>
                <w:szCs w:val="18"/>
                <w:color w:val="auto"/>
              </w:rPr>
              <w:t>INDEX</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8"/>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rPr>
              <w:t>Page No.</w:t>
            </w:r>
          </w:p>
        </w:tc>
      </w:tr>
      <w:tr>
        <w:trPr>
          <w:trHeight w:val="203"/>
        </w:trPr>
        <w:tc>
          <w:tcPr>
            <w:tcW w:w="1340" w:type="dxa"/>
            <w:vAlign w:val="bottom"/>
            <w:gridSpan w:val="3"/>
          </w:tcPr>
          <w:p>
            <w:pPr>
              <w:spacing w:after="0" w:line="202" w:lineRule="exact"/>
              <w:rPr>
                <w:sz w:val="20"/>
                <w:szCs w:val="20"/>
                <w:color w:val="auto"/>
              </w:rPr>
            </w:pPr>
            <w:r>
              <w:rPr>
                <w:rFonts w:ascii="Arial" w:cs="Arial" w:eastAsia="Arial" w:hAnsi="Arial"/>
                <w:sz w:val="18"/>
                <w:szCs w:val="18"/>
                <w:color w:val="auto"/>
              </w:rPr>
              <w:t>PART I.</w:t>
            </w:r>
          </w:p>
        </w:tc>
        <w:tc>
          <w:tcPr>
            <w:tcW w:w="2260" w:type="dxa"/>
            <w:vAlign w:val="bottom"/>
            <w:tcBorders>
              <w:bottom w:val="single" w:sz="8" w:color="0000EE"/>
            </w:tcBorders>
            <w:gridSpan w:val="7"/>
          </w:tcPr>
          <w:p>
            <w:pPr>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6040" w:type="dxa"/>
            <w:vAlign w:val="bottom"/>
            <w:gridSpan w:val="14"/>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83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Financial Statements</w:t>
              </w:r>
            </w:hyperlink>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w:t>
              </w:r>
            </w:hyperlink>
          </w:p>
        </w:tc>
        <w:tc>
          <w:tcPr>
            <w:tcW w:w="1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w:t>
              </w:r>
            </w:hyperlink>
          </w:p>
        </w:tc>
        <w:tc>
          <w:tcPr>
            <w:tcW w:w="4420" w:type="dxa"/>
            <w:vAlign w:val="bottom"/>
            <w:gridSpan w:val="8"/>
          </w:tcPr>
          <w:p>
            <w:pPr>
              <w:spacing w:after="0"/>
              <w:rPr>
                <w:sz w:val="24"/>
                <w:szCs w:val="24"/>
                <w:color w:val="auto"/>
              </w:rPr>
            </w:pPr>
          </w:p>
        </w:tc>
        <w:tc>
          <w:tcPr>
            <w:tcW w:w="1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Condensed Balance Sheets</w:t>
              </w:r>
            </w:hyperlink>
          </w:p>
        </w:tc>
        <w:tc>
          <w:tcPr>
            <w:tcW w:w="5220" w:type="dxa"/>
            <w:vAlign w:val="bottom"/>
            <w:gridSpan w:val="10"/>
          </w:tcPr>
          <w:p>
            <w:pPr>
              <w:spacing w:after="0"/>
              <w:rPr>
                <w:sz w:val="24"/>
                <w:szCs w:val="24"/>
                <w:color w:val="auto"/>
              </w:rPr>
            </w:pPr>
          </w:p>
        </w:tc>
        <w:tc>
          <w:tcPr>
            <w:tcW w:w="1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85"/>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Stockholders' Equity</w:t>
              </w:r>
            </w:hyperlink>
          </w:p>
        </w:tc>
        <w:tc>
          <w:tcPr>
            <w:tcW w:w="1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385"/>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Condensed Statements of Cash Flows</w:t>
              </w:r>
            </w:hyperlink>
          </w:p>
        </w:tc>
        <w:tc>
          <w:tcPr>
            <w:tcW w:w="640" w:type="dxa"/>
            <w:vAlign w:val="bottom"/>
            <w:tcBorders>
              <w:top w:val="single" w:sz="8" w:color="0000EE"/>
            </w:tcBorders>
            <w:gridSpan w:val="6"/>
          </w:tcPr>
          <w:p>
            <w:pPr>
              <w:spacing w:after="0"/>
              <w:rPr>
                <w:sz w:val="24"/>
                <w:szCs w:val="24"/>
                <w:color w:val="auto"/>
              </w:rPr>
            </w:pPr>
          </w:p>
        </w:tc>
        <w:tc>
          <w:tcPr>
            <w:tcW w:w="3800" w:type="dxa"/>
            <w:vAlign w:val="bottom"/>
            <w:gridSpan w:val="3"/>
          </w:tcPr>
          <w:p>
            <w:pPr>
              <w:spacing w:after="0"/>
              <w:rPr>
                <w:sz w:val="24"/>
                <w:szCs w:val="24"/>
                <w:color w:val="auto"/>
              </w:rPr>
            </w:pPr>
          </w:p>
        </w:tc>
        <w:tc>
          <w:tcPr>
            <w:tcW w:w="144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85"/>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Consolidated Condensed Financial Statements</w:t>
              </w:r>
            </w:hyperlink>
          </w:p>
        </w:tc>
        <w:tc>
          <w:tcPr>
            <w:tcW w:w="4160" w:type="dxa"/>
            <w:vAlign w:val="bottom"/>
            <w:gridSpan w:val="6"/>
          </w:tcPr>
          <w:p>
            <w:pPr>
              <w:spacing w:after="0"/>
              <w:rPr>
                <w:sz w:val="24"/>
                <w:szCs w:val="24"/>
                <w:color w:val="auto"/>
              </w:rPr>
            </w:pPr>
          </w:p>
        </w:tc>
        <w:tc>
          <w:tcPr>
            <w:tcW w:w="1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830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56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00" w:type="dxa"/>
            <w:vAlign w:val="bottom"/>
            <w:gridSpan w:val="16"/>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 About Market Risk</w:t>
              </w:r>
            </w:hyperlink>
          </w:p>
        </w:tc>
        <w:tc>
          <w:tcPr>
            <w:tcW w:w="2160" w:type="dxa"/>
            <w:vAlign w:val="bottom"/>
            <w:gridSpan w:val="4"/>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Controls and Procedures</w:t>
              </w:r>
            </w:hyperlink>
          </w:p>
        </w:tc>
        <w:tc>
          <w:tcPr>
            <w:tcW w:w="2520" w:type="dxa"/>
            <w:vAlign w:val="bottom"/>
            <w:gridSpan w:val="11"/>
          </w:tcPr>
          <w:p>
            <w:pPr>
              <w:spacing w:after="0"/>
              <w:rPr>
                <w:sz w:val="24"/>
                <w:szCs w:val="24"/>
                <w:color w:val="auto"/>
              </w:rPr>
            </w:pPr>
          </w:p>
        </w:tc>
        <w:tc>
          <w:tcPr>
            <w:tcW w:w="4000" w:type="dxa"/>
            <w:vAlign w:val="bottom"/>
            <w:gridSpan w:val="5"/>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830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EE"/>
            </w:tcBorders>
            <w:gridSpan w:val="4"/>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560" w:type="dxa"/>
            <w:vAlign w:val="bottom"/>
            <w:tcBorders>
              <w:top w:val="single" w:sz="8" w:color="0000EE"/>
            </w:tcBorders>
            <w:gridSpan w:val="2"/>
          </w:tcPr>
          <w:p>
            <w:pPr>
              <w:spacing w:after="0"/>
              <w:rPr>
                <w:sz w:val="24"/>
                <w:szCs w:val="24"/>
                <w:color w:val="auto"/>
              </w:rPr>
            </w:pPr>
          </w:p>
        </w:tc>
        <w:tc>
          <w:tcPr>
            <w:tcW w:w="6420" w:type="dxa"/>
            <w:vAlign w:val="bottom"/>
            <w:gridSpan w:val="15"/>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6980" w:type="dxa"/>
            <w:vAlign w:val="bottom"/>
            <w:gridSpan w:val="17"/>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gridSpan w:val="17"/>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3940" w:type="dxa"/>
            <w:vAlign w:val="bottom"/>
            <w:gridSpan w:val="4"/>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3940" w:type="dxa"/>
            <w:vAlign w:val="bottom"/>
            <w:gridSpan w:val="4"/>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5980" w:type="dxa"/>
            <w:vAlign w:val="bottom"/>
            <w:gridSpan w:val="1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Mine Safety Disclosures</w:t>
              </w:r>
            </w:hyperlink>
          </w:p>
        </w:tc>
        <w:tc>
          <w:tcPr>
            <w:tcW w:w="540" w:type="dxa"/>
            <w:vAlign w:val="bottom"/>
            <w:gridSpan w:val="4"/>
          </w:tcPr>
          <w:p>
            <w:pPr>
              <w:spacing w:after="0"/>
              <w:rPr>
                <w:sz w:val="24"/>
                <w:szCs w:val="24"/>
                <w:color w:val="auto"/>
              </w:rPr>
            </w:pPr>
          </w:p>
        </w:tc>
        <w:tc>
          <w:tcPr>
            <w:tcW w:w="5980" w:type="dxa"/>
            <w:vAlign w:val="bottom"/>
            <w:gridSpan w:val="12"/>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520" w:type="dxa"/>
            <w:vAlign w:val="bottom"/>
            <w:gridSpan w:val="1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Other Information</w:t>
              </w:r>
            </w:hyperlink>
          </w:p>
        </w:tc>
        <w:tc>
          <w:tcPr>
            <w:tcW w:w="460" w:type="dxa"/>
            <w:vAlign w:val="bottom"/>
          </w:tcPr>
          <w:p>
            <w:pPr>
              <w:spacing w:after="0"/>
              <w:rPr>
                <w:sz w:val="24"/>
                <w:szCs w:val="24"/>
                <w:color w:val="auto"/>
              </w:rPr>
            </w:pPr>
          </w:p>
        </w:tc>
        <w:tc>
          <w:tcPr>
            <w:tcW w:w="6520" w:type="dxa"/>
            <w:vAlign w:val="bottom"/>
            <w:gridSpan w:val="16"/>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980" w:type="dxa"/>
            <w:vAlign w:val="bottom"/>
            <w:gridSpan w:val="1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6980" w:type="dxa"/>
            <w:vAlign w:val="bottom"/>
            <w:gridSpan w:val="17"/>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220" w:type="dxa"/>
            <w:vAlign w:val="bottom"/>
            <w:gridSpan w:val="2"/>
          </w:tcPr>
          <w:p>
            <w:pPr>
              <w:ind w:left="20"/>
              <w:spacing w:after="0"/>
              <w:rPr>
                <w:rFonts w:ascii="Arial" w:cs="Arial" w:eastAsia="Arial" w:hAnsi="Arial"/>
                <w:sz w:val="18"/>
                <w:szCs w:val="18"/>
                <w:color w:val="0000EE"/>
              </w:rPr>
            </w:pPr>
            <w:hyperlink w:anchor="page39">
              <w:r>
                <w:rPr>
                  <w:rFonts w:ascii="Arial" w:cs="Arial" w:eastAsia="Arial" w:hAnsi="Arial"/>
                  <w:sz w:val="18"/>
                  <w:szCs w:val="18"/>
                  <w:color w:val="0000EE"/>
                </w:rPr>
                <w:t>Signature</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480"/>
        </w:trPr>
        <w:tc>
          <w:tcPr>
            <w:tcW w:w="1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300" w:type="dxa"/>
            <w:vAlign w:val="bottom"/>
            <w:gridSpan w:val="16"/>
          </w:tcPr>
          <w:p>
            <w:pPr>
              <w:ind w:left="4200"/>
              <w:spacing w:after="0"/>
              <w:rPr>
                <w:sz w:val="20"/>
                <w:szCs w:val="20"/>
                <w:color w:val="auto"/>
              </w:rPr>
            </w:pPr>
            <w:r>
              <w:rPr>
                <w:rFonts w:ascii="Arial" w:cs="Arial" w:eastAsia="Arial" w:hAnsi="Arial"/>
                <w:sz w:val="18"/>
                <w:szCs w:val="18"/>
                <w:color w:val="auto"/>
                <w:w w:val="79"/>
              </w:rPr>
              <w:t>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360" w:top="14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 (Note 7)</w:t>
            </w: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67"/>
        </w:trPr>
        <w:tc>
          <w:tcPr>
            <w:tcW w:w="844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 - basic (Note 8)</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 - diluted (Note 8)</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vMerge w:val="continue"/>
          </w:tcPr>
          <w:p>
            <w:pPr>
              <w:spacing w:after="0"/>
              <w:rPr>
                <w:sz w:val="19"/>
                <w:szCs w:val="19"/>
                <w:color w:val="auto"/>
              </w:rPr>
            </w:pP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67"/>
        </w:trPr>
        <w:tc>
          <w:tcPr>
            <w:tcW w:w="844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Number of shares used to compute earnings per share:</w:t>
            </w:r>
          </w:p>
        </w:tc>
        <w:tc>
          <w:tcPr>
            <w:tcW w:w="8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67"/>
        </w:trPr>
        <w:tc>
          <w:tcPr>
            <w:tcW w:w="844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32" w:right="339" w:bottom="1440" w:gutter="0" w:footer="0" w:header="0"/>
        </w:sectPr>
      </w:pPr>
    </w:p>
    <w:bookmarkStart w:id="3" w:name="page4"/>
    <w:bookmarkEnd w:id="3"/>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135.9</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32" w:right="339" w:bottom="1440" w:gutter="0" w:footer="0" w:header="0"/>
        </w:sectPr>
      </w:pPr>
    </w:p>
    <w:bookmarkStart w:id="4" w:name="page5"/>
    <w:bookmarkEnd w:id="4"/>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 2020</w:t>
            </w:r>
          </w:p>
        </w:tc>
        <w:tc>
          <w:tcPr>
            <w:tcW w:w="260" w:type="dxa"/>
            <w:vAlign w:val="bottom"/>
          </w:tcPr>
          <w:p>
            <w:pPr>
              <w:spacing w:after="0"/>
              <w:rPr>
                <w:sz w:val="16"/>
                <w:szCs w:val="16"/>
                <w:color w:val="auto"/>
              </w:rPr>
            </w:pPr>
          </w:p>
        </w:tc>
        <w:tc>
          <w:tcPr>
            <w:tcW w:w="1540" w:type="dxa"/>
            <w:vAlign w:val="bottom"/>
          </w:tcPr>
          <w:p>
            <w:pPr>
              <w:jc w:val="right"/>
              <w:ind w:right="291"/>
              <w:spacing w:after="0"/>
              <w:rPr>
                <w:sz w:val="20"/>
                <w:szCs w:val="20"/>
                <w:color w:val="auto"/>
              </w:rPr>
            </w:pPr>
            <w:r>
              <w:rPr>
                <w:rFonts w:ascii="Arial" w:cs="Arial" w:eastAsia="Arial" w:hAnsi="Arial"/>
                <w:sz w:val="14"/>
                <w:szCs w:val="14"/>
                <w:b w:val="1"/>
                <w:bCs w:val="1"/>
                <w:color w:val="auto"/>
              </w:rPr>
              <w:t>October 31, 2019</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r>
      <w:tr>
        <w:trPr>
          <w:trHeight w:val="229"/>
        </w:trPr>
        <w:tc>
          <w:tcPr>
            <w:tcW w:w="754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 for doubtful accounts of $15.2 at January 31, 2020</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40" w:type="dxa"/>
            <w:vAlign w:val="bottom"/>
          </w:tcPr>
          <w:p>
            <w:pPr>
              <w:ind w:left="380"/>
              <w:spacing w:after="0"/>
              <w:rPr>
                <w:sz w:val="20"/>
                <w:szCs w:val="20"/>
                <w:color w:val="auto"/>
              </w:rPr>
            </w:pPr>
            <w:r>
              <w:rPr>
                <w:rFonts w:ascii="Arial" w:cs="Arial" w:eastAsia="Arial" w:hAnsi="Arial"/>
                <w:sz w:val="18"/>
                <w:szCs w:val="18"/>
                <w:color w:val="auto"/>
              </w:rPr>
              <w:t>and $16.4 at October 31, 2019</w:t>
            </w:r>
          </w:p>
        </w:tc>
        <w:tc>
          <w:tcPr>
            <w:tcW w:w="24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435.3</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506.9</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Prepaid expense and other current assets</w:t>
            </w:r>
          </w:p>
        </w:tc>
        <w:tc>
          <w:tcPr>
            <w:tcW w:w="2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132.2</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1,163.4</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2,193.9</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1,061.8</w:t>
            </w:r>
          </w:p>
        </w:tc>
      </w:tr>
      <w:tr>
        <w:trPr>
          <w:trHeight w:val="237"/>
        </w:trPr>
        <w:tc>
          <w:tcPr>
            <w:tcW w:w="7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1,132.1</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(Note 2)</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 (Note 5)</w:t>
            </w:r>
          </w:p>
        </w:tc>
        <w:tc>
          <w:tcPr>
            <w:tcW w:w="2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2,445.9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2,428.9</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 (Note 5)</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78.0</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6,548.5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6,274.5</w:t>
            </w:r>
          </w:p>
        </w:tc>
      </w:tr>
      <w:tr>
        <w:trPr>
          <w:trHeight w:val="67"/>
        </w:trPr>
        <w:tc>
          <w:tcPr>
            <w:tcW w:w="75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231"/>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(Note 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563.7</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150.1</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292.1</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1,110.6</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6)</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28.0</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tax payable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pension liability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2,645.9</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(Note 13)</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Preferred stock, 10 cents par value, shares authorized: 1.0; zero shares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ind w:left="380"/>
              <w:spacing w:after="0"/>
              <w:rPr>
                <w:sz w:val="20"/>
                <w:szCs w:val="20"/>
                <w:color w:val="auto"/>
              </w:rPr>
            </w:pPr>
            <w:r>
              <w:rPr>
                <w:rFonts w:ascii="Arial" w:cs="Arial" w:eastAsia="Arial" w:hAnsi="Arial"/>
                <w:sz w:val="18"/>
                <w:szCs w:val="18"/>
                <w:color w:val="auto"/>
                <w:w w:val="90"/>
              </w:rPr>
              <w:t>Common stock, 10 cents par value, shares authorized: 120.0; issued 53.3 at January 31, 2020 and</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40" w:type="dxa"/>
            <w:vAlign w:val="bottom"/>
          </w:tcPr>
          <w:p>
            <w:pPr>
              <w:ind w:left="380"/>
              <w:spacing w:after="0"/>
              <w:rPr>
                <w:sz w:val="20"/>
                <w:szCs w:val="20"/>
                <w:color w:val="auto"/>
              </w:rPr>
            </w:pPr>
            <w:r>
              <w:rPr>
                <w:rFonts w:ascii="Arial" w:cs="Arial" w:eastAsia="Arial" w:hAnsi="Arial"/>
                <w:sz w:val="18"/>
                <w:szCs w:val="18"/>
                <w:color w:val="auto"/>
              </w:rPr>
              <w:t>53.2 at October 31, 2019</w:t>
            </w:r>
          </w:p>
        </w:tc>
        <w:tc>
          <w:tcPr>
            <w:tcW w:w="24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1,615.0</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(447.1)</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3,026.4</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Treasury stock at cost: 4.1 shares at January 31, 2020 and October 31, 2019</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(571.2)</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Cooper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3,628.4</w:t>
            </w:r>
          </w:p>
        </w:tc>
      </w:tr>
      <w:tr>
        <w:trPr>
          <w:trHeight w:val="236"/>
        </w:trPr>
        <w:tc>
          <w:tcPr>
            <w:tcW w:w="754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Stockholders’ equity (Note 10)</w:t>
            </w: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3,628.6</w:t>
            </w:r>
          </w:p>
        </w:tc>
      </w:tr>
      <w:tr>
        <w:trPr>
          <w:trHeight w:val="236"/>
        </w:trPr>
        <w:tc>
          <w:tcPr>
            <w:tcW w:w="75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6,548.5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6,274.5</w:t>
            </w:r>
          </w:p>
        </w:tc>
      </w:tr>
      <w:tr>
        <w:trPr>
          <w:trHeight w:val="27"/>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443"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Shares</w:t>
            </w:r>
          </w:p>
        </w:tc>
        <w:tc>
          <w:tcPr>
            <w:tcW w:w="13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Treasury Stock</w:t>
            </w: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2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line="20" w:lineRule="exact"/>
              <w:rPr>
                <w:sz w:val="1"/>
                <w:szCs w:val="1"/>
                <w:color w:val="auto"/>
              </w:rPr>
            </w:pPr>
          </w:p>
        </w:tc>
        <w:tc>
          <w:tcPr>
            <w:tcW w:w="7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7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Treasury</w:t>
            </w:r>
          </w:p>
        </w:tc>
        <w:tc>
          <w:tcPr>
            <w:tcW w:w="10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Stockholders'</w:t>
            </w:r>
          </w:p>
        </w:tc>
        <w:tc>
          <w:tcPr>
            <w:tcW w:w="0" w:type="dxa"/>
            <w:vAlign w:val="bottom"/>
          </w:tcPr>
          <w:p>
            <w:pPr>
              <w:spacing w:after="0"/>
              <w:rPr>
                <w:sz w:val="1"/>
                <w:szCs w:val="1"/>
                <w:color w:val="auto"/>
              </w:rPr>
            </w:pPr>
          </w:p>
        </w:tc>
      </w:tr>
      <w:tr>
        <w:trPr>
          <w:trHeight w:val="106"/>
        </w:trPr>
        <w:tc>
          <w:tcPr>
            <w:tcW w:w="2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68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3"/>
                <w:szCs w:val="13"/>
                <w:color w:val="auto"/>
              </w:rPr>
            </w:pP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6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3"/>
                <w:szCs w:val="13"/>
                <w:color w:val="auto"/>
              </w:rPr>
            </w:pP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3"/>
                <w:szCs w:val="13"/>
                <w:color w:val="auto"/>
              </w:rPr>
            </w:pPr>
          </w:p>
        </w:tc>
        <w:tc>
          <w:tcPr>
            <w:tcW w:w="72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at November 1, 2018</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3,307.8</w:t>
            </w:r>
          </w:p>
        </w:tc>
        <w:tc>
          <w:tcPr>
            <w:tcW w:w="0" w:type="dxa"/>
            <w:vAlign w:val="bottom"/>
          </w:tcPr>
          <w:p>
            <w:pPr>
              <w:spacing w:after="0"/>
              <w:rPr>
                <w:sz w:val="1"/>
                <w:szCs w:val="1"/>
                <w:color w:val="auto"/>
              </w:rPr>
            </w:pPr>
          </w:p>
        </w:tc>
      </w:tr>
      <w:tr>
        <w:trPr>
          <w:trHeight w:val="264"/>
        </w:trPr>
        <w:tc>
          <w:tcPr>
            <w:tcW w:w="26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7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57"/>
        </w:trPr>
        <w:tc>
          <w:tcPr>
            <w:tcW w:w="26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Issuance of common stock for stock plans,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80" w:type="dxa"/>
            <w:vAlign w:val="bottom"/>
            <w:gridSpan w:val="3"/>
          </w:tcPr>
          <w:p>
            <w:pPr>
              <w:ind w:left="20"/>
              <w:spacing w:after="0"/>
              <w:rPr>
                <w:sz w:val="20"/>
                <w:szCs w:val="20"/>
                <w:color w:val="auto"/>
              </w:rPr>
            </w:pPr>
            <w:r>
              <w:rPr>
                <w:rFonts w:ascii="Arial" w:cs="Arial" w:eastAsia="Arial" w:hAnsi="Arial"/>
                <w:sz w:val="14"/>
                <w:szCs w:val="14"/>
                <w:color w:val="auto"/>
              </w:rPr>
              <w:t>net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Treasury stock repurchase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57"/>
        </w:trPr>
        <w:tc>
          <w:tcPr>
            <w:tcW w:w="26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Dividends on common stock ($0.03 per</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80" w:type="dxa"/>
            <w:vAlign w:val="bottom"/>
            <w:gridSpan w:val="3"/>
          </w:tcPr>
          <w:p>
            <w:pPr>
              <w:ind w:left="20"/>
              <w:spacing w:after="0"/>
              <w:rPr>
                <w:sz w:val="20"/>
                <w:szCs w:val="20"/>
                <w:color w:val="auto"/>
              </w:rPr>
            </w:pPr>
            <w:r>
              <w:rPr>
                <w:rFonts w:ascii="Arial" w:cs="Arial" w:eastAsia="Arial" w:hAnsi="Arial"/>
                <w:sz w:val="14"/>
                <w:szCs w:val="14"/>
                <w:color w:val="auto"/>
              </w:rPr>
              <w:t>share)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4"/>
        </w:trPr>
        <w:tc>
          <w:tcPr>
            <w:tcW w:w="2680" w:type="dxa"/>
            <w:vAlign w:val="bottom"/>
            <w:gridSpan w:val="3"/>
          </w:tcPr>
          <w:p>
            <w:pPr>
              <w:ind w:left="20"/>
              <w:spacing w:after="0"/>
              <w:rPr>
                <w:sz w:val="20"/>
                <w:szCs w:val="20"/>
                <w:color w:val="auto"/>
              </w:rPr>
            </w:pPr>
            <w:r>
              <w:rPr>
                <w:rFonts w:ascii="Arial" w:cs="Arial" w:eastAsia="Arial" w:hAnsi="Arial"/>
                <w:sz w:val="14"/>
                <w:szCs w:val="14"/>
                <w:color w:val="auto"/>
              </w:rPr>
              <w:t>ASU 2016-16 adoption</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56"/>
        </w:trPr>
        <w:tc>
          <w:tcPr>
            <w:tcW w:w="26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at January 31, 2019</w:t>
            </w: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2,664.4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3,425.5</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at November 1, 2019</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3,628.6</w:t>
            </w:r>
          </w:p>
        </w:tc>
        <w:tc>
          <w:tcPr>
            <w:tcW w:w="0" w:type="dxa"/>
            <w:vAlign w:val="bottom"/>
          </w:tcPr>
          <w:p>
            <w:pPr>
              <w:spacing w:after="0"/>
              <w:rPr>
                <w:sz w:val="1"/>
                <w:szCs w:val="1"/>
                <w:color w:val="auto"/>
              </w:rPr>
            </w:pPr>
          </w:p>
        </w:tc>
      </w:tr>
      <w:tr>
        <w:trPr>
          <w:trHeight w:val="264"/>
        </w:trPr>
        <w:tc>
          <w:tcPr>
            <w:tcW w:w="26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7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57"/>
        </w:trPr>
        <w:tc>
          <w:tcPr>
            <w:tcW w:w="26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Issuance of common stock for stock plans,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80" w:type="dxa"/>
            <w:vAlign w:val="bottom"/>
            <w:gridSpan w:val="3"/>
          </w:tcPr>
          <w:p>
            <w:pPr>
              <w:ind w:left="20"/>
              <w:spacing w:after="0"/>
              <w:rPr>
                <w:sz w:val="20"/>
                <w:szCs w:val="20"/>
                <w:color w:val="auto"/>
              </w:rPr>
            </w:pPr>
            <w:r>
              <w:rPr>
                <w:rFonts w:ascii="Arial" w:cs="Arial" w:eastAsia="Arial" w:hAnsi="Arial"/>
                <w:sz w:val="14"/>
                <w:szCs w:val="14"/>
                <w:color w:val="auto"/>
              </w:rPr>
              <w:t>net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63"/>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on common stock ($0.03 per</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2680" w:type="dxa"/>
            <w:vAlign w:val="bottom"/>
            <w:gridSpan w:val="3"/>
          </w:tcPr>
          <w:p>
            <w:pPr>
              <w:ind w:left="2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43"/>
        </w:trPr>
        <w:tc>
          <w:tcPr>
            <w:tcW w:w="26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at January 31, 2020</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391" w:right="379" w:bottom="1440" w:gutter="0" w:footer="0" w:header="0"/>
        </w:sectPr>
      </w:pPr>
    </w:p>
    <w:bookmarkStart w:id="6" w:name="page7"/>
    <w:bookmarkEnd w:id="6"/>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103.2</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Increase in operating capital</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101.8</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261.8</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long-term debt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Net (repayments) proceeds from short-term debt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407.5</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payments related to share-based compensation awards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9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acquisition costs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93.2</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146.9</w:t>
            </w:r>
          </w:p>
        </w:tc>
      </w:tr>
      <w:tr>
        <w:trPr>
          <w:trHeight w:val="67"/>
        </w:trPr>
        <w:tc>
          <w:tcPr>
            <w:tcW w:w="79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0"/>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Reconciliation of cash flow information:</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146.6</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146.9</w:t>
            </w:r>
          </w:p>
        </w:tc>
      </w:tr>
      <w:tr>
        <w:trPr>
          <w:trHeight w:val="27"/>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32"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accompanying unaudited interim consolidated condensed financial statements and related notes should be read in conjunction with the audited Consolidated Financial Statements of the Cooper Companies, Inc. and its subsidiaries (the Company) and related notes as contained in the Company’s Annual Report on Form 10-K for the fiscal year ended October 31, 2019. The unaudited interim financial statements include all adjustments (consisting only of normal recurring adjustments) and accruals necessary in the judgment of management for a fair statement of the results for the periods presented. Readers should not assume that the results reported here either indicate or guarantee future performance. The terms "the Company", "we", "us", and "our" are used to refer collectively to the Cooper Companies, Inc. and its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There have been no material changes to our significant accounting policies described in our Annual Report on Form 10-K for the fiscal year ended October 31, 2019, except as it relates to the adoption of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described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consider an arrangement a lease if the arrangement transfers the right to control the use of an identified asset in exchange for consideration. We have operating leases, but do not have material financing leases. 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minimum lease payments over the lease term.</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lease term reflects the noncancelable period of the lease together with periods covered by an option to extend or terminate the lease when management is reasonably certain that it will exercise such option. Changes in the lease term assumption could impact the right-of-use assets and lease liabilities recognized on the balance sheet. As our leases typically do not contain a readily determinable implicit rate, we determine the present value of the lease liability using our incremental borrowing rate at the lease commencement date based on the lease term on a collateralized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auto"/>
        </w:rPr>
        <w:t>I</w:t>
      </w:r>
      <w:r>
        <w:rPr>
          <w:rFonts w:ascii="Arial" w:cs="Arial" w:eastAsia="Arial" w:hAnsi="Arial"/>
          <w:sz w:val="17"/>
          <w:szCs w:val="17"/>
          <w:color w:val="auto"/>
        </w:rPr>
        <w:t>n February 2016, the Financial Accounting Standards Board (FASB) issued ASU 2016-02,</w:t>
      </w:r>
      <w:r>
        <w:rPr>
          <w:rFonts w:ascii="Arial" w:cs="Arial" w:eastAsia="Arial" w:hAnsi="Arial"/>
          <w:sz w:val="20"/>
          <w:szCs w:val="20"/>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color w:val="auto"/>
        </w:rPr>
        <w:t>. ASU 2016-02 requires that a lessee</w:t>
      </w:r>
      <w:r>
        <w:rPr>
          <w:rFonts w:ascii="Arial" w:cs="Arial" w:eastAsia="Arial" w:hAnsi="Arial"/>
          <w:sz w:val="20"/>
          <w:szCs w:val="20"/>
          <w:color w:val="auto"/>
        </w:rPr>
        <w:t xml:space="preserve"> </w:t>
      </w:r>
      <w:r>
        <w:rPr>
          <w:rFonts w:ascii="Arial" w:cs="Arial" w:eastAsia="Arial" w:hAnsi="Arial"/>
          <w:sz w:val="17"/>
          <w:szCs w:val="17"/>
          <w:color w:val="auto"/>
        </w:rPr>
        <w:t xml:space="preserve">recognize the assets and liabilities that arise from operating leases. A lessee should recognize in the statement of financial position a liability to make lease payments (the lease liability) and a right-of-use (ROU)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Arial" w:cs="Arial" w:eastAsia="Arial" w:hAnsi="Arial"/>
          <w:sz w:val="17"/>
          <w:szCs w:val="17"/>
          <w:i w:val="1"/>
          <w:iCs w:val="1"/>
          <w:color w:val="auto"/>
        </w:rPr>
        <w:t>Codification Improvements to Topic 842, Leases and ASU 2018-11, 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 improvements, </w:t>
      </w:r>
      <w:r>
        <w:rPr>
          <w:rFonts w:ascii="Arial" w:cs="Arial" w:eastAsia="Arial" w:hAnsi="Arial"/>
          <w:sz w:val="17"/>
          <w:szCs w:val="17"/>
          <w:color w:val="auto"/>
        </w:rPr>
        <w:t>which provides an additional (and optional) transition method whereby the new lease standard is applied at the adoption date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recognized as an adjustment to retained earnings. In March 2019, the FASB issued ASU 2019-01, </w:t>
      </w:r>
      <w:r>
        <w:rPr>
          <w:rFonts w:ascii="Arial" w:cs="Arial" w:eastAsia="Arial" w:hAnsi="Arial"/>
          <w:sz w:val="17"/>
          <w:szCs w:val="17"/>
          <w:i w:val="1"/>
          <w:iCs w:val="1"/>
          <w:color w:val="auto"/>
        </w:rPr>
        <w:t>Leases (Topic 842) Codification Improvements</w:t>
      </w:r>
      <w:r>
        <w:rPr>
          <w:rFonts w:ascii="Arial" w:cs="Arial" w:eastAsia="Arial" w:hAnsi="Arial"/>
          <w:sz w:val="17"/>
          <w:szCs w:val="17"/>
          <w:color w:val="auto"/>
        </w:rPr>
        <w:t>, which further clarifies the determination of fair value of the underlying asset by lessors that are not manufacturers or dealers and modifies transition disclosure requirements for changes in accounting principles and other technical updates.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adopted this standard using the optional transition method and recorded an adjustment to the Consolidated Condensed Balance Sheet on November 1, 2019. We have implemented changes to certain business processes, systems and internal controls to support adoption of the new standard and the related disclosure requirements, including the implementation of a third-party leasing software solution. We elected the package of transition expedients, which allows us to keep our existing lease classifications and not reassess whether any existing contracts as of the date of adoption are leases or contain leases and not reassess initial direct cost. In addition, we elected the practical expedients to combine lease and non-lease components for our leases, and for leases with an initial term of 12 months or less to recognize the associated lease payments in the Consolidated Statements of Income on a straight-line basis over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5"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lease term.</w:t>
      </w:r>
    </w:p>
    <w:p>
      <w:pPr>
        <w:spacing w:after="0" w:line="23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of January 31, 2020, the aggregate balances of lease right-of-use assets and lease liabilities were $264.0 million and $272.7 million, respectively. The standard did not affect our Consolidated Statements of Income or Consolidated Condensed Statements of Cash Flows. We will continue to disclose comparative reporting periods prior to November 1, 2019 under the previous accounting guidance, ASC 840 Leases.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29"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and subsequent amendments to the initial guidance: ASU 2018-19</w:t>
      </w:r>
      <w:r>
        <w:rPr>
          <w:rFonts w:ascii="Arial" w:cs="Arial" w:eastAsia="Arial" w:hAnsi="Arial"/>
          <w:sz w:val="16"/>
          <w:szCs w:val="16"/>
          <w:i w:val="1"/>
          <w:iCs w:val="1"/>
          <w:color w:val="auto"/>
        </w:rPr>
        <w:t xml:space="preserve"> “Codification Improvements to Topic 326, Financial Instruments-Credit Losses</w:t>
      </w:r>
      <w:r>
        <w:rPr>
          <w:rFonts w:ascii="Arial" w:cs="Arial" w:eastAsia="Arial" w:hAnsi="Arial"/>
          <w:sz w:val="16"/>
          <w:szCs w:val="16"/>
          <w:color w:val="auto"/>
        </w:rPr>
        <w:t>”, ASU 2019-04 “</w:t>
      </w:r>
      <w:r>
        <w:rPr>
          <w:rFonts w:ascii="Arial" w:cs="Arial" w:eastAsia="Arial" w:hAnsi="Arial"/>
          <w:sz w:val="16"/>
          <w:szCs w:val="16"/>
          <w:i w:val="1"/>
          <w:iCs w:val="1"/>
          <w:color w:val="auto"/>
        </w:rPr>
        <w:t>Codification Improvements to Topic 326, Financial Instruments-Credit Losses, Topic 815, Derivatives and Hedging, and Topic 825, Financial Instruments”</w:t>
      </w:r>
      <w:r>
        <w:rPr>
          <w:rFonts w:ascii="Arial" w:cs="Arial" w:eastAsia="Arial" w:hAnsi="Arial"/>
          <w:sz w:val="16"/>
          <w:szCs w:val="16"/>
          <w:color w:val="auto"/>
        </w:rPr>
        <w:t>, ASU 2019-05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ASU 2019-11 “</w:t>
      </w:r>
      <w:r>
        <w:rPr>
          <w:rFonts w:ascii="Arial" w:cs="Arial" w:eastAsia="Arial" w:hAnsi="Arial"/>
          <w:sz w:val="16"/>
          <w:szCs w:val="16"/>
          <w:i w:val="1"/>
          <w:iCs w:val="1"/>
          <w:color w:val="auto"/>
        </w:rPr>
        <w:t xml:space="preserve">Codification Improvements to Topic 326, Financial Instruments - Credit Losses” (collectively, “Topic 326”) </w:t>
      </w:r>
      <w:r>
        <w:rPr>
          <w:rFonts w:ascii="Arial" w:cs="Arial" w:eastAsia="Arial" w:hAnsi="Arial"/>
          <w:sz w:val="16"/>
          <w:szCs w:val="16"/>
          <w:color w:val="auto"/>
        </w:rPr>
        <w:t>and ASU 2020-02</w:t>
      </w:r>
      <w:r>
        <w:rPr>
          <w:rFonts w:ascii="Arial" w:cs="Arial" w:eastAsia="Arial" w:hAnsi="Arial"/>
          <w:sz w:val="16"/>
          <w:szCs w:val="16"/>
          <w:i w:val="1"/>
          <w:iCs w:val="1"/>
          <w:color w:val="auto"/>
        </w:rPr>
        <w:t xml:space="preserve"> Financial Instruments—Credit Losses (Topic 326) and Leases (Topic 842). </w:t>
      </w:r>
      <w:r>
        <w:rPr>
          <w:rFonts w:ascii="Arial" w:cs="Arial" w:eastAsia="Arial" w:hAnsi="Arial"/>
          <w:sz w:val="16"/>
          <w:szCs w:val="16"/>
          <w:color w:val="auto"/>
        </w:rPr>
        <w:t>Topic 326 requires measurement and recognition of expected credit losses for financial assets held. Topic 326 is effective for fiscal years and interim periods within those fiscal years beginning after December 15, 2019, which means it will be effective for our fiscal year beginning November 01, 2020. Early adoption is permitted. We are currently evaluating the impact of Topic 326 on our consolidated financial statements.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xml:space="preserve">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This guidance is effective for fiscal years, and interim periods within those fiscal years, beginning after December 15, 2019, which means it will be effective for our fiscal year beginning November 1, 2020. Early adoption is permitted. The adoption of this guidance will not have a material impact on our Consolidated Financial Statements.</w:t>
      </w:r>
    </w:p>
    <w:p>
      <w:pPr>
        <w:spacing w:after="0" w:line="15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guidance removes certain exceptions to the general principles in Topic 740 and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We are currently evaluating the impact of ASU 2019-12 on our consolidated financial statements, which is effective for the Company in our fiscal year and interim periods beginning on November 1, 2021.</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Investments-Equity Securities (Topic 321), Investments-Equity Method and Joint Ventures (Topic 323),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Derivatives and Hedging (Topic 815) - Clarifying the Interactions between Topic 321, Topic 323, and Topic 815. </w:t>
      </w:r>
      <w:r>
        <w:rPr>
          <w:rFonts w:ascii="Arial" w:cs="Arial" w:eastAsia="Arial" w:hAnsi="Arial"/>
          <w:sz w:val="17"/>
          <w:szCs w:val="17"/>
          <w:color w:val="auto"/>
        </w:rPr>
        <w:t>This guidance addresses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transition into and out of the equity method and provides clarification of the interaction of rules for equity securities, the equity method of accounting, and forward contracts and purchase options on certain types of securities. This standard is effective for fiscal years and interim periods within those fiscal years beginning after December 15, 2020. Early adoption is permitted. We are currently evaluating the impact of ASU 2020-01 which is effective for the Company in our fiscal year and interim periods beginning on November 1, 2021.</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5"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Leases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primarily has operating leases for office, manufacturing and warehouse space, vehicles, and office equipment. Our leases expire on various dates between 2021 and 2046, some of which could include options to extend the lease.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Lease right-of-use assets and liabilities are recognized at the commencement date based on the present value of lease payments over the lease term. As these leases do not provide an implicit rate, we use our incremental borrowing rate based on the information available at the lease's commencement date in determining the present value of lease payments. We consider information including, but not limited to, the lease term, our credit rating and interest rates of similar debt instruments with comparable credit ratings and security interests. The lease right-of-use assets are increased by any lease prepayments made and reduced by any lease incentives such as tenant improvement allowances. Options to extend the lease term are included in the lease term when it is reasonably certain that we will exercise the extension option.</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Company’s operating leases typically include non-lease components such as common-area maintenance costs. We have elected to include non-lease components with lease payments for the purpose of calculating lease right-of-use assets and liabilities, to the extent that they are fixed. Non-lease components that are not fixed are expensed as incurred as variable lease payments.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Leases with a term of one year or less are not recognized on our Consolidated Condensed Balance Sheet, while the associated lease payments are recorded in the Consolidated Statements of Income on a straight-line basis over the lease term.</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Commitments under finance lease arrangements of $2.2 million as of January 31, 2020 are not significant and are not included in the disclosure tables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leases on the Consolidated Condensed Balance Sheet: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560" w:type="dxa"/>
            <w:vAlign w:val="bottom"/>
          </w:tcPr>
          <w:p>
            <w:pPr>
              <w:jc w:val="right"/>
              <w:ind w:right="294"/>
              <w:spacing w:after="0"/>
              <w:rPr>
                <w:sz w:val="20"/>
                <w:szCs w:val="20"/>
                <w:color w:val="auto"/>
              </w:rPr>
            </w:pPr>
            <w:r>
              <w:rPr>
                <w:rFonts w:ascii="Arial" w:cs="Arial" w:eastAsia="Arial" w:hAnsi="Arial"/>
                <w:sz w:val="14"/>
                <w:szCs w:val="14"/>
                <w:b w:val="1"/>
                <w:bCs w:val="1"/>
                <w:color w:val="auto"/>
              </w:rPr>
              <w:t>January 31, 2020</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264.0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31.5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241.2</w:t>
            </w:r>
          </w:p>
        </w:tc>
      </w:tr>
      <w:tr>
        <w:trPr>
          <w:trHeight w:val="257"/>
        </w:trPr>
        <w:tc>
          <w:tcPr>
            <w:tcW w:w="40" w:type="dxa"/>
            <w:vAlign w:val="bottom"/>
          </w:tcPr>
          <w:p>
            <w:pPr>
              <w:spacing w:after="0"/>
              <w:rPr>
                <w:sz w:val="22"/>
                <w:szCs w:val="22"/>
                <w:color w:val="auto"/>
              </w:rPr>
            </w:pPr>
          </w:p>
        </w:tc>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272.7</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2020, the weighted average remaining lease term was 11.8 years and the weighted average discount rate was 3.0%.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lease expense in our Consolidated Statements of Income: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360" w:type="dxa"/>
            <w:vAlign w:val="bottom"/>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r>
      <w:tr>
        <w:trPr>
          <w:trHeight w:val="243"/>
        </w:trPr>
        <w:tc>
          <w:tcPr>
            <w:tcW w:w="40" w:type="dxa"/>
            <w:vAlign w:val="bottom"/>
          </w:tcPr>
          <w:p>
            <w:pPr>
              <w:spacing w:after="0"/>
              <w:rPr>
                <w:sz w:val="21"/>
                <w:szCs w:val="21"/>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Short-term lease expense</w:t>
            </w:r>
          </w:p>
        </w:tc>
        <w:tc>
          <w:tcPr>
            <w:tcW w:w="4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about the Company’s leases: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January 31,</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10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2020</w:t>
            </w:r>
          </w:p>
        </w:tc>
      </w:tr>
      <w:tr>
        <w:trPr>
          <w:trHeight w:val="21"/>
        </w:trPr>
        <w:tc>
          <w:tcPr>
            <w:tcW w:w="7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63" w:lineRule="exact"/>
        <w:rPr>
          <w:sz w:val="20"/>
          <w:szCs w:val="20"/>
          <w:color w:val="auto"/>
        </w:rPr>
      </w:pPr>
    </w:p>
    <w:p>
      <w:pPr>
        <w:ind w:left="180"/>
        <w:spacing w:after="0"/>
        <w:tabs>
          <w:tab w:leader="none" w:pos="9460" w:val="left"/>
          <w:tab w:leader="none" w:pos="10880" w:val="left"/>
        </w:tabs>
        <w:rPr>
          <w:sz w:val="20"/>
          <w:szCs w:val="20"/>
          <w:color w:val="auto"/>
        </w:rPr>
      </w:pPr>
      <w:r>
        <w:rPr>
          <w:rFonts w:ascii="Arial" w:cs="Arial" w:eastAsia="Arial" w:hAnsi="Arial"/>
          <w:sz w:val="18"/>
          <w:szCs w:val="18"/>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minimum rental payments required under operating leases that have initial or remaining noncancelable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 are: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4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175.7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w:t>
            </w:r>
          </w:p>
        </w:tc>
      </w:tr>
      <w:tr>
        <w:trPr>
          <w:trHeight w:val="237"/>
        </w:trPr>
        <w:tc>
          <w:tcPr>
            <w:tcW w:w="4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272.7</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in the Company’s Annual Report on Form 10-K for the year ended October 31, 2019, and under previous lease accounting standard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ASC 840, Leases, the aggregate future noncancelable minimum rental payments on its operating leases, as of October 31, 2019, are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4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173.6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332.7</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Acquisitions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 summary of the allocation of the total purchase consideration for business and asset acquisitions that the Company completed during fiscal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 2020</w:t>
            </w:r>
          </w:p>
        </w:tc>
        <w:tc>
          <w:tcPr>
            <w:tcW w:w="260" w:type="dxa"/>
            <w:vAlign w:val="bottom"/>
          </w:tcPr>
          <w:p>
            <w:pPr>
              <w:spacing w:after="0"/>
              <w:rPr>
                <w:sz w:val="14"/>
                <w:szCs w:val="14"/>
                <w:color w:val="auto"/>
              </w:rPr>
            </w:pPr>
          </w:p>
        </w:tc>
        <w:tc>
          <w:tcPr>
            <w:tcW w:w="154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purchase price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All the acquisitions were funded by cash generated from operations or facility borrowings.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business acquisitions, we recorded the tangible and intangible assets acquired and liabilities assumed at their fair values as of the applicable date of acquisition. For assets acquisitions, we recorded the tangible and intangible assets acquired and liabilities assumed at their estimated and relative fair values as of the applicable date of acquisition.</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believe these acquisitions strengthen CooperSurgical's and CooperVision's businesses through the addition of new distributors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December 13, 2019, CooperSurgical completed the acquisition of a privately-held distributor of in vitro fertilization (IVF) medical devices and systems.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is preliminary and we are in the process of finalizing information and the corresponding impact on goodwill.</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pro forma results of operations of this acquisition has not been presented because the effect of the business combination described above was not material to our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December 28, 2018, CooperVision completed the acquisition of Blanchard Contact Lenses. Blanchard is a privately-held scleral lens company, which expands CooperVision's specialty and scleral lens portfolio.</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December 31, 2018, CooperSurgical completed the acquisition of Incisive Surgical Inc., a privately-held U.S. medical device company that develops mechanical surgical solutions for skin closure.</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effects of the business combinations described above, individually and in the aggregate, were not material to our reported consolidated financial results.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31, 2020</w:t>
            </w:r>
          </w:p>
        </w:tc>
        <w:tc>
          <w:tcPr>
            <w:tcW w:w="300" w:type="dxa"/>
            <w:vAlign w:val="bottom"/>
          </w:tcPr>
          <w:p>
            <w:pPr>
              <w:spacing w:after="0"/>
              <w:rPr>
                <w:sz w:val="14"/>
                <w:szCs w:val="14"/>
                <w:color w:val="auto"/>
              </w:rPr>
            </w:pPr>
          </w:p>
        </w:tc>
        <w:tc>
          <w:tcPr>
            <w:tcW w:w="1720" w:type="dxa"/>
            <w:vAlign w:val="bottom"/>
          </w:tcPr>
          <w:p>
            <w:pPr>
              <w:jc w:val="right"/>
              <w:ind w:right="414"/>
              <w:spacing w:after="0"/>
              <w:rPr>
                <w:sz w:val="20"/>
                <w:szCs w:val="20"/>
                <w:color w:val="auto"/>
              </w:rPr>
            </w:pPr>
            <w:r>
              <w:rPr>
                <w:rFonts w:ascii="Arial" w:cs="Arial" w:eastAsia="Arial" w:hAnsi="Arial"/>
                <w:sz w:val="14"/>
                <w:szCs w:val="14"/>
                <w:b w:val="1"/>
                <w:bCs w:val="1"/>
                <w:color w:val="auto"/>
              </w:rPr>
              <w:t>October 31, 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131.4</w:t>
            </w:r>
          </w:p>
        </w:tc>
      </w:tr>
      <w:tr>
        <w:trPr>
          <w:trHeight w:val="243"/>
        </w:trPr>
        <w:tc>
          <w:tcPr>
            <w:tcW w:w="4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362.2</w:t>
            </w:r>
          </w:p>
        </w:tc>
      </w:tr>
      <w:tr>
        <w:trPr>
          <w:trHeight w:val="236"/>
        </w:trPr>
        <w:tc>
          <w:tcPr>
            <w:tcW w:w="4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526.5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506.9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60" w:type="dxa"/>
            <w:vAlign w:val="bottom"/>
          </w:tcPr>
          <w:p>
            <w:pPr>
              <w:spacing w:after="0"/>
              <w:rPr>
                <w:sz w:val="14"/>
                <w:szCs w:val="14"/>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October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2,392.1</w:t>
            </w:r>
          </w:p>
        </w:tc>
      </w:tr>
      <w:tr>
        <w:trPr>
          <w:trHeight w:val="243"/>
        </w:trPr>
        <w:tc>
          <w:tcPr>
            <w:tcW w:w="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Net additions</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37"/>
        </w:trPr>
        <w:tc>
          <w:tcPr>
            <w:tcW w:w="4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Balance at October 31, 2019</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2,428.9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additions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Translation</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13.0</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January 31, 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evaluates goodwill for impairment annually during the fiscal third quarter and when an event occurs or circumstances change such that it is reasonably possible that impairment may exist. The Company accounts for goodwill, evaluates and tests goodwill balances for impairment in accordance with related accounting standards. The Company performed an annual impairment assessment in third quarter of fiscal 2019, and its analysis indicated that there was no impairment of goodwill in reporting units.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680"/>
              <w:spacing w:after="0"/>
              <w:rPr>
                <w:sz w:val="20"/>
                <w:szCs w:val="20"/>
                <w:color w:val="auto"/>
              </w:rPr>
            </w:pPr>
            <w:r>
              <w:rPr>
                <w:rFonts w:ascii="Arial" w:cs="Arial" w:eastAsia="Arial" w:hAnsi="Arial"/>
                <w:sz w:val="14"/>
                <w:szCs w:val="14"/>
                <w:b w:val="1"/>
                <w:bCs w:val="1"/>
                <w:color w:val="auto"/>
              </w:rPr>
              <w:t>January 31, 2020</w:t>
            </w:r>
          </w:p>
        </w:tc>
        <w:tc>
          <w:tcPr>
            <w:tcW w:w="160" w:type="dxa"/>
            <w:vAlign w:val="bottom"/>
          </w:tcPr>
          <w:p>
            <w:pPr>
              <w:spacing w:after="0"/>
              <w:rPr>
                <w:sz w:val="16"/>
                <w:szCs w:val="16"/>
                <w:color w:val="auto"/>
              </w:rPr>
            </w:pPr>
          </w:p>
        </w:tc>
        <w:tc>
          <w:tcPr>
            <w:tcW w:w="25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October 31, 2019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22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Period (in years)</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3"/>
                <w:szCs w:val="13"/>
                <w:color w:val="auto"/>
              </w:rPr>
            </w:pPr>
          </w:p>
        </w:tc>
        <w:tc>
          <w:tcPr>
            <w:tcW w:w="120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148.5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148.5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Composite intangible asset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License and distribution rights and other</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634.3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Less: accumulated amortization and translation</w:t>
            </w: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8"/>
                <w:szCs w:val="18"/>
                <w:color w:val="auto"/>
              </w:rPr>
              <w:t>634.3</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4"/>
              <w:spacing w:after="0"/>
              <w:rPr>
                <w:sz w:val="20"/>
                <w:szCs w:val="20"/>
                <w:color w:val="auto"/>
              </w:rPr>
            </w:pPr>
            <w:r>
              <w:rPr>
                <w:rFonts w:ascii="Arial" w:cs="Arial" w:eastAsia="Arial" w:hAnsi="Arial"/>
                <w:sz w:val="18"/>
                <w:szCs w:val="18"/>
                <w:color w:val="auto"/>
              </w:rPr>
              <w:t>599.4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vMerge w:val="continue"/>
          </w:tcPr>
          <w:p>
            <w:pPr>
              <w:spacing w:after="0"/>
              <w:rPr>
                <w:sz w:val="20"/>
                <w:szCs w:val="20"/>
                <w:color w:val="auto"/>
              </w:rPr>
            </w:pPr>
          </w:p>
        </w:tc>
        <w:tc>
          <w:tcPr>
            <w:tcW w:w="4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Intangible assets with indefinite lives, net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7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Intangible assets with indefinite lives include technology and trademarks.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Balances include foreign currency translation adjustments.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gridSpan w:val="3"/>
          </w:tcPr>
          <w:p>
            <w:pPr>
              <w:spacing w:after="0"/>
              <w:rPr>
                <w:sz w:val="20"/>
                <w:szCs w:val="20"/>
                <w:color w:val="auto"/>
              </w:rPr>
            </w:pPr>
            <w:r>
              <w:rPr>
                <w:rFonts w:ascii="Arial" w:cs="Arial" w:eastAsia="Arial" w:hAnsi="Arial"/>
                <w:sz w:val="18"/>
                <w:szCs w:val="18"/>
                <w:color w:val="auto"/>
                <w:w w:val="97"/>
              </w:rPr>
              <w:t>As of January 31, 2020, the estimation of amortization expenses for intangible assets with definite lives is as follows:</w:t>
            </w: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99"/>
        </w:trPr>
        <w:tc>
          <w:tcPr>
            <w:tcW w:w="4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Fiscal years:</w:t>
            </w:r>
          </w:p>
        </w:tc>
        <w:tc>
          <w:tcPr>
            <w:tcW w:w="8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jc w:val="right"/>
              <w:ind w:right="652"/>
              <w:spacing w:after="0"/>
              <w:rPr>
                <w:sz w:val="20"/>
                <w:szCs w:val="20"/>
                <w:color w:val="auto"/>
              </w:rPr>
            </w:pPr>
            <w:r>
              <w:rPr>
                <w:rFonts w:ascii="Arial" w:cs="Arial" w:eastAsia="Arial" w:hAnsi="Arial"/>
                <w:sz w:val="14"/>
                <w:szCs w:val="14"/>
                <w:b w:val="1"/>
                <w:bCs w:val="1"/>
                <w:color w:val="auto"/>
              </w:rPr>
              <w:t>(In millions)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80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w:t>
            </w:r>
          </w:p>
        </w:tc>
      </w:tr>
      <w:tr>
        <w:trPr>
          <w:trHeight w:val="243"/>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135.0</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w:t>
            </w:r>
          </w:p>
        </w:tc>
      </w:tr>
      <w:tr>
        <w:trPr>
          <w:trHeight w:val="243"/>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8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130.9</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w:t>
            </w:r>
          </w:p>
        </w:tc>
      </w:tr>
      <w:tr>
        <w:trPr>
          <w:trHeight w:val="243"/>
        </w:trPr>
        <w:tc>
          <w:tcPr>
            <w:tcW w:w="40" w:type="dxa"/>
            <w:vAlign w:val="bottom"/>
          </w:tcPr>
          <w:p>
            <w:pPr>
              <w:spacing w:after="0"/>
              <w:rPr>
                <w:sz w:val="21"/>
                <w:szCs w:val="21"/>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738.4</w:t>
            </w:r>
          </w:p>
        </w:tc>
      </w:tr>
      <w:tr>
        <w:trPr>
          <w:trHeight w:val="27"/>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remaining amortization for intangible assets with definite lives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1,365.5</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assesses indefinite-lived intangible assets annually during the fiscal third quarter and both indefinite-lived and definite-lived intangible assets, when an event occurs or change in circumstances indicate that the carrying amount of an intangible asset may not be recoverable, in accordance with related accounting standards. The Company performed an annual impairment assessment in third quarter of fiscal 2019 and did not recognize any material intangible asset impairment charges.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Debt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 2020</w:t>
            </w:r>
          </w:p>
        </w:tc>
        <w:tc>
          <w:tcPr>
            <w:tcW w:w="220" w:type="dxa"/>
            <w:vAlign w:val="bottom"/>
          </w:tcPr>
          <w:p>
            <w:pPr>
              <w:spacing w:after="0"/>
              <w:rPr>
                <w:sz w:val="17"/>
                <w:szCs w:val="17"/>
                <w:color w:val="auto"/>
              </w:rPr>
            </w:pPr>
          </w:p>
        </w:tc>
        <w:tc>
          <w:tcPr>
            <w:tcW w:w="1580" w:type="dxa"/>
            <w:vAlign w:val="bottom"/>
          </w:tcPr>
          <w:p>
            <w:pPr>
              <w:jc w:val="right"/>
              <w:ind w:right="231"/>
              <w:spacing w:after="0"/>
              <w:rPr>
                <w:sz w:val="20"/>
                <w:szCs w:val="20"/>
                <w:color w:val="auto"/>
              </w:rPr>
            </w:pPr>
            <w:r>
              <w:rPr>
                <w:rFonts w:ascii="Arial" w:cs="Arial" w:eastAsia="Arial" w:hAnsi="Arial"/>
                <w:sz w:val="16"/>
                <w:szCs w:val="16"/>
                <w:b w:val="1"/>
                <w:bCs w:val="1"/>
                <w:color w:val="auto"/>
                <w:w w:val="96"/>
              </w:rPr>
              <w:t>October 31, 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Overdraft and other credit facilities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500.0</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563.7</w:t>
            </w:r>
          </w:p>
        </w:tc>
      </w:tr>
      <w:tr>
        <w:trPr>
          <w:trHeight w:val="29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Revolving credit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264.0</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Less: unamortized debt issuance cost</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1,262.6</w:t>
            </w:r>
          </w:p>
        </w:tc>
      </w:tr>
      <w:tr>
        <w:trPr>
          <w:trHeight w:val="257"/>
        </w:trPr>
        <w:tc>
          <w:tcPr>
            <w:tcW w:w="40" w:type="dxa"/>
            <w:vAlign w:val="bottom"/>
          </w:tcPr>
          <w:p>
            <w:pPr>
              <w:spacing w:after="0"/>
              <w:rPr>
                <w:sz w:val="22"/>
                <w:szCs w:val="22"/>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1,776.7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1,826.3</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$500 million Term Loan on September 27, 2019</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On September 27, 2019, the Company amended its existing senior unsecured term loan agreement entered into on November 1, 2018 (the 2018 Term Loan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to establish a new 364-day senior unsecured term loan (the 2019 Term Loan Agreement) with the same parties as the 2018 Term Loan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The 2019 Term Loan Agreement modifies certain provisions of the 2018 Term Loan Agreement which, among other things, extended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maturity date to September 25, 2020 and increased the aggregate principal amount of the term loan facility from an original amount of $400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 million. The Company used the additional funds to partially repay outstanding borrowings under the 2017 Term Loan Agreement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2020, the Company had $500.0 million outstanding under the 2019 Term Loan Agreement.</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Amounts outstanding under the 2019 Term Loan Agreement will bear interest, at the Company's option, at either the base rate, or the adjusted LIBOR (each as defined in the 2019 Term Loan Agreement), plus, in each case, an applicable rate of 0.00% in respect of base rate loans and 0.60% in respect of adjusted LIBOR loans. The weighted average interest rate for the three months ended January 31, 2020 was 2.35%.</w:t>
      </w:r>
    </w:p>
    <w:p>
      <w:pPr>
        <w:spacing w:after="0" w:line="16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2019 Term Loan Agreement contains customary restrictive covenants, as well as financial covenants that require the Company to maintain a certain Total Leverage Ratio and Interest Coverage Ratio (each as defined in the 2019 Term Loan Agreement) consistent with the 2016 Credit Agreement discussed below.</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$1.425 billion Term Loan on November 1, 2017</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November 1, 2017, in connection with the PARAGARD acquisition, the Company entered into a five-year, $1.425 billion, senior unsecured term loan agreement (the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outstanding under the 2017 Term Loan Agreement will bear interest, at our option, at either the base rate, or the adjusted LIBOR (each as defined in the 2017 Term Loan Agreement), plus, in each case, an applicable rate of, between 0.00% and 0.75% in respect of base rate loans and between 1.00% and 1.75% in respect of adjusted LIBOR loans, in each case in accordance with a pricing grid tied to the Total Leverage Ratio as defined in the 2017 Term Loan Agreement.</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discussed below. At January 31, 2020, the Company had $1.0 billion outstanding under the 2017 Term Loan Agreement. The interest rate on the 2017 Term Loan was 2.91% at January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March 1, 2016</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1, 2016, the Company entered into a Revolving Credit and Term Loan Agreement (the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(the 2016 Revolving Credit Facility) and a term loan facility in an aggregate principal amount of $830.0 million (the 2016 Term Loan Facility), each of which, unless terminated earlier, mature on March 1, 2021. In addition, the Company has the ability from time to time to request an increase to the size of the 2016 Revolving Credit Facility or establish one or more new term loans under the 2016 Term Loan Facility in an aggregate amount up to $750.0 million, subject to the discretionary participation of the lenders.</w:t>
      </w:r>
    </w:p>
    <w:p>
      <w:pPr>
        <w:spacing w:after="0" w:line="1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Amounts outstanding under the 2016 Credit Agreement will bear interest, at our option, at either the base rate, or the adjusted LIBOR or adjusted foreign currency rate (each as defined in the 2016 Credit Agreement), plus, in each case, an applicable rate of between 0.00% and 0.75% in respect of base rate loans and between 1.00% and 1.75% in respect of adjusted LIBOR or adjusted foreign currency rate loans, in each case in accordance with a pricing grid tied to the Total Leverage Ratio, as defined in the 2016 Credit Agreement.</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pays an annual commitment fee that ranges from 0.125% to 0.25% of the unused portion of the 2016 Revolving Credit Facility depending on certain financial ratios. In addition to the annual commitment fee, the Company is also required to pay certain letter of credit and related fronting fees and other administrative fees pursuant to the terms of the 2016 Credit Agreement.</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At January 31, 2020, the Company had no outstanding balance under the 2016 Term Loan Facility and $235.0 million outstanding under the 2016 Revolving Credit Facility. $763.8 million was available under the 2016 Revolving Credit Facility.</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2016 Credit Agreement contains customary restrictive covenants, as well as financial covenants that require us to maintain a certain Total Leverage Ratio and Interest Coverage Ratio, each as defined in the 2016 Credit Agreement:</w:t>
      </w:r>
    </w:p>
    <w:p>
      <w:pPr>
        <w:spacing w:after="0" w:line="11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171"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January 31, 2020, the Company was in compliance with the Interest Coverage Ratio at 15.26 to 1.00 and the Total Leverage Ratio at 1.82 to 1.00 for 2019 Term Loan Agreement, 2017 Term Loan Agreement, and 2016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2019 for more details.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Income Taxes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effective tax rates were an expense of 7.1% and a benefit of 10.0% for the first quarter of fiscal 2020 and fiscal 2019, respectively. The increase in our effective tax rate for the first quarter of fiscal 2020 compared to fiscal 2019 was primarily due to tax benefits for settlement of tax audits and revisions to the provisional tax charges related to the 2017 Tax Cuts and Jobs Act during fiscal 2019. Our effective tax rate for the first quarter of fiscal 2020 was lower than the U.S. statutory tax rate because of discrete tax benefits and a favorable mix of income from our foreign jurisdictions with preferential tax rates. Total discrete tax benefits for the first quarter of fiscal 2020 were $3.8 million primarily relating to excess tax benefits from share-based compensation. Our effective tax rate for the first quarter of fiscal 2019 was lower than the U.S. statutory rate because of discrete tax benefits and favorable mix of income from our foreign jurisdictions with lower tax rates.</w:t>
      </w:r>
    </w:p>
    <w:p>
      <w:pPr>
        <w:spacing w:after="0" w:line="17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recognize the benefit from a tax position only if it is more likely than not that the position would be sustained upon audit based solely on the technical merits of the tax position. As of January 31, 2020, and October 31, 2019, Cooper had unrecognized tax benefits of $54.8 million and $49.7 million, respectively. The increase is primarily related to additions to current and prior period transfer pricing reserves, partially offset by release of reserves due to lapse of the statute of limitations. It is our policy to recognize interest and penalties directly related to income taxes as additional income tax expense. It is reasonably possible that $14.8 million of unrecognized tax benefits could be settled during the next twelve months.</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subject to U.S. federal income tax examinations for fiscal 2015 through 2019 and the Internal Revenue Service is currently auditing our U.S. Consolidated Corporation Income Tax Returns for fiscal 2015 and 2016. The Company remains subject to income tax examinations in other significant tax jurisdictions including United Kingdom, Japan, France and Australia for the tax years 2014 through 2019. The Company is currently under audit in the United Kingdom for fiscal 2015 through 2018.</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Earnings Per Share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2"/>
        </w:trPr>
        <w:tc>
          <w:tcPr>
            <w:tcW w:w="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21"/>
                <w:szCs w:val="21"/>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38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w:t>
            </w:r>
          </w:p>
        </w:tc>
      </w:tr>
      <w:tr>
        <w:trPr>
          <w:trHeight w:val="223"/>
        </w:trPr>
        <w:tc>
          <w:tcPr>
            <w:tcW w:w="4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8"/>
                <w:szCs w:val="18"/>
                <w:i w:val="1"/>
                <w:iCs w:val="1"/>
                <w:color w:val="auto"/>
              </w:rPr>
              <w:t>Basic:</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40"/>
        </w:trPr>
        <w:tc>
          <w:tcPr>
            <w:tcW w:w="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5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r>
      <w:tr>
        <w:trPr>
          <w:trHeight w:val="237"/>
        </w:trPr>
        <w:tc>
          <w:tcPr>
            <w:tcW w:w="4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w:t>
            </w:r>
          </w:p>
        </w:tc>
      </w:tr>
      <w:tr>
        <w:trPr>
          <w:trHeight w:val="67"/>
        </w:trPr>
        <w:tc>
          <w:tcPr>
            <w:tcW w:w="4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55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Diluted:</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Weighted average common shares</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w:t>
            </w: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49.9</w:t>
            </w:r>
          </w:p>
        </w:tc>
      </w:tr>
      <w:tr>
        <w:trPr>
          <w:trHeight w:val="27"/>
        </w:trPr>
        <w:tc>
          <w:tcPr>
            <w:tcW w:w="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41"/>
        </w:trPr>
        <w:tc>
          <w:tcPr>
            <w:tcW w:w="40" w:type="dxa"/>
            <w:vAlign w:val="bottom"/>
          </w:tcPr>
          <w:p>
            <w:pPr>
              <w:spacing w:after="0"/>
              <w:rPr>
                <w:sz w:val="21"/>
                <w:szCs w:val="21"/>
                <w:color w:val="auto"/>
              </w:rPr>
            </w:pPr>
          </w:p>
        </w:tc>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exercise prices)</w:t>
            </w:r>
          </w:p>
        </w:tc>
        <w:tc>
          <w:tcPr>
            <w:tcW w:w="400" w:type="dxa"/>
            <w:vAlign w:val="bottom"/>
          </w:tcPr>
          <w:p>
            <w:pPr>
              <w:spacing w:after="0"/>
              <w:rPr>
                <w:sz w:val="21"/>
                <w:szCs w:val="21"/>
                <w:color w:val="auto"/>
              </w:rPr>
            </w:pPr>
          </w:p>
        </w:tc>
        <w:tc>
          <w:tcPr>
            <w:tcW w:w="1280" w:type="dxa"/>
            <w:vAlign w:val="bottom"/>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c>
          <w:tcPr>
            <w:tcW w:w="1680" w:type="dxa"/>
            <w:vAlign w:val="bottom"/>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 shares excluded</w:t>
            </w: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377</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7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Range of exercise prices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254.77</w:t>
            </w:r>
          </w:p>
        </w:tc>
        <w:tc>
          <w:tcPr>
            <w:tcW w:w="10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$226.30-$254.77</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Restricted stock units excluded</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5"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Share-Based Compensation Plans</w:t>
      </w:r>
    </w:p>
    <w:p>
      <w:pPr>
        <w:spacing w:after="0" w:line="175"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2019. The compensation expense and related income tax benefit recognized in our Consolidated Statements of Income for share-based awards were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January 31,</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40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Related income tax benefit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Note 10. Stockholders’ Equity</w:t>
            </w: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63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00" w:type="dxa"/>
            <w:vAlign w:val="bottom"/>
            <w:gridSpan w:val="3"/>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00" w:type="dxa"/>
            <w:vAlign w:val="bottom"/>
            <w:gridSpan w:val="4"/>
          </w:tcPr>
          <w:p>
            <w:pPr>
              <w:spacing w:after="0"/>
              <w:rPr>
                <w:sz w:val="20"/>
                <w:szCs w:val="20"/>
                <w:color w:val="auto"/>
              </w:rPr>
            </w:pPr>
            <w:r>
              <w:rPr>
                <w:rFonts w:ascii="Arial" w:cs="Arial" w:eastAsia="Arial" w:hAnsi="Arial"/>
                <w:sz w:val="18"/>
                <w:szCs w:val="18"/>
                <w:b w:val="1"/>
                <w:bCs w:val="1"/>
                <w:color w:val="auto"/>
                <w:w w:val="97"/>
              </w:rPr>
              <w:t>Analysis of Changes in Accumulated Other Comprehensive (Loss) Income:</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0" w:type="dxa"/>
            <w:vAlign w:val="bottom"/>
          </w:tcPr>
          <w:p>
            <w:pPr>
              <w:spacing w:after="0"/>
              <w:rPr>
                <w:sz w:val="24"/>
                <w:szCs w:val="24"/>
                <w:color w:val="auto"/>
              </w:rPr>
            </w:pPr>
          </w:p>
        </w:tc>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Pension</w:t>
            </w:r>
          </w:p>
        </w:tc>
        <w:tc>
          <w:tcPr>
            <w:tcW w:w="360" w:type="dxa"/>
            <w:vAlign w:val="bottom"/>
          </w:tcPr>
          <w:p>
            <w:pPr>
              <w:spacing w:after="0"/>
              <w:rPr>
                <w:sz w:val="24"/>
                <w:szCs w:val="2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260" w:type="dxa"/>
            <w:vAlign w:val="bottom"/>
            <w:gridSpan w:val="3"/>
            <w:vMerge w:val="continue"/>
          </w:tcPr>
          <w:p>
            <w:pPr>
              <w:spacing w:after="0"/>
              <w:rPr>
                <w:sz w:val="13"/>
                <w:szCs w:val="13"/>
                <w:color w:val="auto"/>
              </w:rPr>
            </w:pPr>
          </w:p>
        </w:tc>
        <w:tc>
          <w:tcPr>
            <w:tcW w:w="168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Adjustment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Liability</w:t>
            </w: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October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Gross change in value</w:t>
            </w: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Tax effect for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Balance at October 31,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change in value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Balance at January 31,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share repurchase activity during the first quarter ended January 31, 2020. During fiscal year ended October 31, 2019, we repurchased 537 thousand shares of our common stock for $156.1 million under the 2012 Share Repurchase Program. At January 31, 2020, $407.4 million remained authorized for repurchase under the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paid a semiannual dividend of approximately $1.5 million or 3 cents per share on February 10, 2020, to stockholders of record on January 23, 2020.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Fair Value Measurements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5"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January 31, 2020 and October 31, 2019,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carrying value of our revolving credit facility and term loans approximates fair value estimated based on current market rates (Level 2). The Company did not have any derivative assets or liabilities including no interest rate swaps, cross currency swaps or foreign currency forward contracts as of January 31, 2020 and October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uses fair value measures when determining assets and liabilities acquired in an acquisition as described in Note 3. Acquisitions which are considered a Level 3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Employee Benefits</w:t>
      </w:r>
    </w:p>
    <w:p>
      <w:pPr>
        <w:spacing w:after="0" w:line="17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Cooper’s Retirement Income Plan (the Plan), a defined benefit plan, covers substantially all full-time United States employees. Cooper's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for the three months ended January 31, 2020 and 2019, reflect the following components of net periodic defined benefit costs: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43"/>
        </w:trPr>
        <w:tc>
          <w:tcPr>
            <w:tcW w:w="4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Recognized net actuarial loss</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defined benefit plan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did not contribute to the Plan in the first quarter of fiscal 2020 and expect to contribute $10.0 million during the remainder of fiscal 2020. We did not contribute to the Plan in the first quarter of fiscal 2019. The expected rate of return on Plan assets for determining net periodic benefit plan cost is 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Contingencies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In March 2020, the Court issued an order providing final approval of the settlement and dismissing CooperVision from the class action.</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results of operations. At each reporting period, the Company evaluates whether or not a potential loss amount or a potential range of loss is probable and reasonably estimable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Legal fees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Business Segment Information</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70" w:lineRule="exact"/>
        <w:rPr>
          <w:sz w:val="20"/>
          <w:szCs w:val="20"/>
          <w:color w:val="auto"/>
        </w:rPr>
      </w:pPr>
    </w:p>
    <w:p>
      <w:pPr>
        <w:ind w:left="660" w:right="80" w:hanging="328"/>
        <w:spacing w:after="0" w:line="286"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Competes in the worldwide contact lens market by developing, manufacturing and marketing a broad range of products for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11" w:lineRule="exact"/>
        <w:rPr>
          <w:rFonts w:ascii="Arial" w:cs="Arial" w:eastAsia="Arial" w:hAnsi="Arial"/>
          <w:sz w:val="17"/>
          <w:szCs w:val="17"/>
          <w:i w:val="1"/>
          <w:iCs w:val="1"/>
          <w:color w:val="auto"/>
        </w:rPr>
      </w:pPr>
    </w:p>
    <w:p>
      <w:pPr>
        <w:ind w:left="660" w:right="580" w:hanging="328"/>
        <w:spacing w:after="0" w:line="308"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CooperSurgical. </w:t>
      </w:r>
      <w:r>
        <w:rPr>
          <w:rFonts w:ascii="Arial" w:cs="Arial" w:eastAsia="Arial" w:hAnsi="Arial"/>
          <w:sz w:val="17"/>
          <w:szCs w:val="17"/>
          <w:color w:val="auto"/>
        </w:rPr>
        <w:t>Competes in the general health care market with a focus on advancing the health of women, babies and families through a</w:t>
      </w:r>
      <w:r>
        <w:rPr>
          <w:rFonts w:ascii="Arial" w:cs="Arial" w:eastAsia="Arial" w:hAnsi="Arial"/>
          <w:sz w:val="17"/>
          <w:szCs w:val="17"/>
          <w:i w:val="1"/>
          <w:iCs w:val="1"/>
          <w:color w:val="auto"/>
        </w:rPr>
        <w:t xml:space="preserve"> </w:t>
      </w:r>
      <w:r>
        <w:rPr>
          <w:rFonts w:ascii="Arial" w:cs="Arial" w:eastAsia="Arial" w:hAnsi="Arial"/>
          <w:sz w:val="17"/>
          <w:szCs w:val="17"/>
          <w:color w:val="auto"/>
        </w:rPr>
        <w:t>diversified portfolio of products and services focusing on women's health, fertility, diagnostics and contraception.</w:t>
      </w:r>
    </w:p>
    <w:p>
      <w:pPr>
        <w:spacing w:after="0" w:line="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Total identifiable assets are those used in continuing operations except cash and cash equivalents, which we include as corporate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 net sales by category:</w:t>
            </w:r>
          </w:p>
        </w:tc>
        <w:tc>
          <w:tcPr>
            <w:tcW w:w="3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2"/>
          </w:tcPr>
          <w:p>
            <w:pPr>
              <w:ind w:left="680"/>
              <w:spacing w:after="0"/>
              <w:rPr>
                <w:sz w:val="20"/>
                <w:szCs w:val="20"/>
                <w:color w:val="auto"/>
              </w:rPr>
            </w:pPr>
            <w:r>
              <w:rPr>
                <w:rFonts w:ascii="Arial" w:cs="Arial" w:eastAsia="Arial" w:hAnsi="Arial"/>
                <w:sz w:val="18"/>
                <w:szCs w:val="18"/>
                <w:color w:val="auto"/>
              </w:rPr>
              <w:t>Toric lens</w:t>
            </w:r>
          </w:p>
        </w:tc>
        <w:tc>
          <w:tcPr>
            <w:tcW w:w="39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Multifocal lens</w:t>
            </w:r>
          </w:p>
        </w:tc>
        <w:tc>
          <w:tcPr>
            <w:tcW w:w="3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2"/>
          </w:tcPr>
          <w:p>
            <w:pPr>
              <w:ind w:left="680"/>
              <w:spacing w:after="0"/>
              <w:rPr>
                <w:sz w:val="20"/>
                <w:szCs w:val="20"/>
                <w:color w:val="auto"/>
              </w:rPr>
            </w:pPr>
            <w:r>
              <w:rPr>
                <w:rFonts w:ascii="Arial" w:cs="Arial" w:eastAsia="Arial" w:hAnsi="Arial"/>
                <w:sz w:val="18"/>
                <w:szCs w:val="18"/>
                <w:color w:val="auto"/>
              </w:rPr>
              <w:t>Single-use sphere lens</w:t>
            </w:r>
          </w:p>
        </w:tc>
        <w:tc>
          <w:tcPr>
            <w:tcW w:w="3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Non single-use sphere, other</w:t>
            </w:r>
          </w:p>
        </w:tc>
        <w:tc>
          <w:tcPr>
            <w:tcW w:w="3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Total CooperVision net sales</w:t>
            </w:r>
          </w:p>
        </w:tc>
        <w:tc>
          <w:tcPr>
            <w:tcW w:w="36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CooperSurgical net sales by category:</w:t>
            </w:r>
          </w:p>
        </w:tc>
        <w:tc>
          <w:tcPr>
            <w:tcW w:w="3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2"/>
          </w:tcPr>
          <w:p>
            <w:pPr>
              <w:ind w:left="680"/>
              <w:spacing w:after="0"/>
              <w:rPr>
                <w:sz w:val="20"/>
                <w:szCs w:val="20"/>
                <w:color w:val="auto"/>
              </w:rPr>
            </w:pPr>
            <w:r>
              <w:rPr>
                <w:rFonts w:ascii="Arial" w:cs="Arial" w:eastAsia="Arial" w:hAnsi="Arial"/>
                <w:sz w:val="18"/>
                <w:szCs w:val="18"/>
                <w:color w:val="auto"/>
              </w:rPr>
              <w:t>Office and surgical products</w:t>
            </w:r>
          </w:p>
        </w:tc>
        <w:tc>
          <w:tcPr>
            <w:tcW w:w="3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Fertility</w:t>
            </w:r>
          </w:p>
        </w:tc>
        <w:tc>
          <w:tcPr>
            <w:tcW w:w="3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CooperSurgical net sales</w:t>
            </w:r>
          </w:p>
        </w:tc>
        <w:tc>
          <w:tcPr>
            <w:tcW w:w="36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3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3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vMerge w:val="continue"/>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3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5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3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CooperSurgical</w:t>
            </w:r>
          </w:p>
        </w:tc>
        <w:tc>
          <w:tcPr>
            <w:tcW w:w="3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3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36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Other expense (income), net</w:t>
            </w:r>
          </w:p>
        </w:tc>
        <w:tc>
          <w:tcPr>
            <w:tcW w:w="3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31, 2020</w:t>
            </w:r>
          </w:p>
        </w:tc>
        <w:tc>
          <w:tcPr>
            <w:tcW w:w="180" w:type="dxa"/>
            <w:vAlign w:val="bottom"/>
          </w:tcPr>
          <w:p>
            <w:pPr>
              <w:spacing w:after="0"/>
              <w:rPr>
                <w:sz w:val="14"/>
                <w:szCs w:val="14"/>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October 31, 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identifiable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4,163.2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3,911.6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2,189.8</w:t>
            </w:r>
          </w:p>
        </w:tc>
      </w:tr>
      <w:tr>
        <w:trPr>
          <w:trHeight w:val="243"/>
        </w:trPr>
        <w:tc>
          <w:tcPr>
            <w:tcW w:w="40" w:type="dxa"/>
            <w:vAlign w:val="bottom"/>
          </w:tcPr>
          <w:p>
            <w:pPr>
              <w:spacing w:after="0"/>
              <w:rPr>
                <w:sz w:val="21"/>
                <w:szCs w:val="21"/>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173.1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Geographic information:</w:t>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87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5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1"/>
        </w:trPr>
        <w:tc>
          <w:tcPr>
            <w:tcW w:w="7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Net sales to unaffiliated customers by country of domicile: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20"/>
              <w:spacing w:after="0"/>
              <w:rPr>
                <w:sz w:val="20"/>
                <w:szCs w:val="20"/>
                <w:color w:val="auto"/>
              </w:rPr>
            </w:pPr>
            <w:r>
              <w:rPr>
                <w:rFonts w:ascii="Arial" w:cs="Arial" w:eastAsia="Arial" w:hAnsi="Arial"/>
                <w:sz w:val="18"/>
                <w:szCs w:val="18"/>
                <w:color w:val="auto"/>
              </w:rPr>
              <w:t>United States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278.9</w:t>
            </w:r>
          </w:p>
        </w:tc>
      </w:tr>
      <w:tr>
        <w:trPr>
          <w:trHeight w:val="27"/>
        </w:trPr>
        <w:tc>
          <w:tcPr>
            <w:tcW w:w="7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Rest of world</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139.5</w:t>
            </w:r>
          </w:p>
        </w:tc>
      </w:tr>
      <w:tr>
        <w:trPr>
          <w:trHeight w:val="27"/>
        </w:trPr>
        <w:tc>
          <w:tcPr>
            <w:tcW w:w="79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31, 2020</w:t>
            </w:r>
          </w:p>
        </w:tc>
        <w:tc>
          <w:tcPr>
            <w:tcW w:w="180" w:type="dxa"/>
            <w:vAlign w:val="bottom"/>
          </w:tcPr>
          <w:p>
            <w:pPr>
              <w:spacing w:after="0"/>
              <w:rPr>
                <w:sz w:val="14"/>
                <w:szCs w:val="14"/>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October 31, 2019</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property, plant and equipment by country of domicile:</w:t>
            </w:r>
          </w:p>
        </w:tc>
        <w:tc>
          <w:tcPr>
            <w:tcW w:w="3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3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649.6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18" w:lineRule="exact"/>
        <w:rPr>
          <w:sz w:val="20"/>
          <w:szCs w:val="20"/>
          <w:color w:val="auto"/>
        </w:rPr>
      </w:pPr>
    </w:p>
    <w:p>
      <w:pPr>
        <w:ind w:left="660" w:right="100" w:hanging="652"/>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global political and economic conditions, and related uncertainty caused by the United Kingdom’s election to withdraw from the European Union and its potential impact on, among other things, the movement of goods and materials in our supply chain, additional regulatory approvals and requirements, and increased tariffs and duties.</w:t>
      </w:r>
    </w:p>
    <w:p>
      <w:pPr>
        <w:spacing w:after="0" w:line="129" w:lineRule="exact"/>
        <w:rPr>
          <w:rFonts w:ascii="Arial" w:cs="Arial" w:eastAsia="Arial" w:hAnsi="Arial"/>
          <w:sz w:val="18"/>
          <w:szCs w:val="18"/>
          <w:color w:val="auto"/>
        </w:rPr>
      </w:pPr>
    </w:p>
    <w:p>
      <w:pPr>
        <w:ind w:left="660" w:right="20" w:hanging="652"/>
        <w:spacing w:after="0" w:line="30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escalating global trade barriers including additional tariffs, by countries such as China, and the recent outbreak of the coronavirus referred to as COVID-19 and its potential impact on our sales, operations and supply chain.</w:t>
      </w:r>
    </w:p>
    <w:p>
      <w:pPr>
        <w:spacing w:after="0" w:line="103" w:lineRule="exact"/>
        <w:rPr>
          <w:rFonts w:ascii="Arial" w:cs="Arial" w:eastAsia="Arial" w:hAnsi="Arial"/>
          <w:sz w:val="16"/>
          <w:szCs w:val="16"/>
          <w:color w:val="auto"/>
        </w:rPr>
      </w:pPr>
    </w:p>
    <w:p>
      <w:pPr>
        <w:ind w:left="660" w:right="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tax laws or their interpretation and changes in statutory tax rates, including but not limited to, the U.S., the United Kingdom and other countries may affect our taxation of earnings recognized in foreign jurisdictions and/or negatively impact our effective tax rate.</w:t>
      </w:r>
    </w:p>
    <w:p>
      <w:pPr>
        <w:spacing w:after="0" w:line="92" w:lineRule="exact"/>
        <w:rPr>
          <w:rFonts w:ascii="Arial" w:cs="Arial" w:eastAsia="Arial" w:hAnsi="Arial"/>
          <w:sz w:val="17"/>
          <w:szCs w:val="17"/>
          <w:color w:val="auto"/>
        </w:rPr>
      </w:pPr>
    </w:p>
    <w:p>
      <w:pPr>
        <w:ind w:left="660" w:right="20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revenues and earnings.</w:t>
      </w:r>
    </w:p>
    <w:p>
      <w:pPr>
        <w:spacing w:after="0" w:line="116"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existing indebtedness and associated interest expense, most of which is variable and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right="40" w:hanging="652"/>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8" w:lineRule="exact"/>
        <w:rPr>
          <w:rFonts w:ascii="Arial" w:cs="Arial" w:eastAsia="Arial" w:hAnsi="Arial"/>
          <w:sz w:val="18"/>
          <w:szCs w:val="18"/>
          <w:color w:val="auto"/>
        </w:rPr>
      </w:pPr>
    </w:p>
    <w:p>
      <w:pPr>
        <w:ind w:left="660" w:right="60" w:hanging="652"/>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third- party information, such as HIPAA and the California Consumer Privacy Act in the U.S. and the General Data Protection Regulation requirements in Europe, including but not limited to those resulting from data security breaches.</w:t>
      </w:r>
    </w:p>
    <w:p>
      <w:pPr>
        <w:spacing w:after="0" w:line="129" w:lineRule="exact"/>
        <w:rPr>
          <w:rFonts w:ascii="Arial" w:cs="Arial" w:eastAsia="Arial" w:hAnsi="Arial"/>
          <w:sz w:val="18"/>
          <w:szCs w:val="18"/>
          <w:color w:val="auto"/>
        </w:rPr>
      </w:pPr>
    </w:p>
    <w:p>
      <w:pPr>
        <w:ind w:left="660" w:right="40" w:hanging="652"/>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major disruption in the operations of our manufacturing, accounting and financial reporting, research and development, distribution facilities or raw material supply chain due to integration of acquisitions, man-made or natural disasters, cybersecurity incidents or other causes.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21"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140" w:hanging="652"/>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9"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consolidation of large customers globally through mergers or acquisitions resulting in a larger proportion or concentration of our business being derived from fewer customers.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ind w:left="660" w:hanging="652"/>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the EU In Vitro Diagnostic Medical Devices Regulation (IVDR), and the medical device excise tax under the U.S. Affordable Care Act.</w:t>
      </w:r>
    </w:p>
    <w:p>
      <w:pPr>
        <w:spacing w:after="0" w:line="117" w:lineRule="exact"/>
        <w:rPr>
          <w:rFonts w:ascii="Arial" w:cs="Arial" w:eastAsia="Arial" w:hAnsi="Arial"/>
          <w:sz w:val="17"/>
          <w:szCs w:val="17"/>
          <w:color w:val="auto"/>
        </w:rPr>
      </w:pPr>
    </w:p>
    <w:p>
      <w:pPr>
        <w:ind w:left="660" w:right="58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payors for our products and services.</w:t>
      </w:r>
    </w:p>
    <w:p>
      <w:pPr>
        <w:spacing w:after="0" w:line="194" w:lineRule="exact"/>
        <w:rPr>
          <w:rFonts w:ascii="Arial" w:cs="Arial" w:eastAsia="Arial" w:hAnsi="Arial"/>
          <w:sz w:val="16"/>
          <w:szCs w:val="16"/>
          <w:color w:val="auto"/>
        </w:rPr>
      </w:pPr>
    </w:p>
    <w:p>
      <w:pPr>
        <w:ind w:left="660" w:right="3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right="60" w:hanging="652"/>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2019, as such Risk Factors may be updated in quarterly filings including updates made in this filing.</w:t>
      </w:r>
    </w:p>
    <w:p>
      <w:pPr>
        <w:spacing w:after="0" w:line="13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this section, we discuss the results of our operations for the first quarter of fiscal 2020 ended January 31, 2020 and compare them with the same period of fiscal 2019.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93345</wp:posOffset>
            </wp:positionV>
            <wp:extent cx="2966085" cy="248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succeeding sections of Management’s Discussion and Analysis (MD&amp;A) may include certain financial measures that are not defined by accounting principles generally accepted in the United States of America (U.S. GAAP). These measures, which are referred to as non-GAAP measures, are listed below:</w:t>
      </w:r>
    </w:p>
    <w:p>
      <w:pPr>
        <w:spacing w:after="0" w:line="1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Free cash flow is calculated as net cash provided by operating activities less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Constant currency </w:t>
      </w:r>
      <w:r>
        <w:rPr>
          <w:rFonts w:ascii="Arial" w:cs="Arial" w:eastAsia="Arial" w:hAnsi="Arial"/>
          <w:sz w:val="18"/>
          <w:szCs w:val="18"/>
          <w:color w:val="auto"/>
        </w:rPr>
        <w:t>- Constant currency is defined as excluding the effect of foreign currency fluctuations.</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U.S. GAAP.</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$426.5 million, up 2% from $418.5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$111.1 million remained relatively flat compared to $110.9 million in the prior year period</w:t>
      </w:r>
    </w:p>
    <w:p>
      <w:pPr>
        <w:spacing w:after="0" w:line="17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Diluted earnings per share of $1.82, down 12% from $2.07 per share in the prior year period, primarily due to tax benefits for settlement of tax audits and revisions to the provisional tax charges related to the 2017 Tax Cuts and Jobs Act during the prior year period</w:t>
      </w:r>
    </w:p>
    <w:p>
      <w:pPr>
        <w:spacing w:after="0" w:line="92" w:lineRule="exact"/>
        <w:rPr>
          <w:rFonts w:ascii="Arial" w:cs="Arial" w:eastAsia="Arial" w:hAnsi="Arial"/>
          <w:sz w:val="17"/>
          <w:szCs w:val="17"/>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provided by operations $129.7 million, compared to $101.8 million in the prior year period.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Overall, we remain optimistic about the long-term prospects for the worldwide contact lens and general health care markets. However, events affecting the economy as a whole, including but not limited to the uncertainty and instability of global markets driven by foreign currency volatility, changes in tax legislation, debt concerns, the uncertainty during and after the transition period following the United Kingdom's withdrawal from the European Union, changes to existing regulations and</w:t>
      </w:r>
    </w:p>
    <w:p>
      <w:pPr>
        <w:sectPr>
          <w:pgSz w:w="11900" w:h="16838" w:orient="portrait"/>
          <w:cols w:equalWidth="0" w:num="1">
            <w:col w:w="11200"/>
          </w:cols>
          <w:pgMar w:left="320" w:top="121" w:right="379" w:bottom="1440" w:gutter="0" w:footer="0" w:header="0"/>
        </w:sectPr>
      </w:pP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00"/>
          </w:cols>
          <w:pgMar w:left="320" w:top="121" w:right="3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new regulations, global trade barriers including additional tariffs, the trend of consolidations within the health care industry and uncertainty regarding the scope and impact of the recent outbreak of the coronavirus referred to as COVID-19 on our sales and operations and on the operations of our significant suppliers and customers could impact our current performance and continue to represent a risk to our future performance.</w:t>
      </w:r>
    </w:p>
    <w:p>
      <w:pPr>
        <w:spacing w:after="0" w:line="95"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i w:val="1"/>
          <w:iCs w:val="1"/>
          <w:color w:val="auto"/>
        </w:rPr>
        <w:t xml:space="preserve">CooperVision </w:t>
      </w:r>
      <w:r>
        <w:rPr>
          <w:rFonts w:ascii="Arial" w:cs="Arial" w:eastAsia="Arial" w:hAnsi="Arial"/>
          <w:sz w:val="18"/>
          <w:szCs w:val="18"/>
          <w:color w:val="auto"/>
        </w:rPr>
        <w:t>- We compete in the worldwide contact lens market with our spherical, toric and multifocal contact lenses offered in a variety of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using silicone hydrogel Aquaform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and phosphorylcholine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markets with products such as orthokeratology (ortho-k) and scleral lenses. In November 2019, CooperVision received United States Food &amp; Drug Administration (FDA) approval for its MiSight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 day lens, which is the first and only FDA-approved product indicated to slow the progression of myopia in children with treatment initiated between the ages of 8-12 and became available in the United States during fiscal 2020. CooperVision is focused on greater worldwide market penetration using recently introduced products, and we continue to expand our presence in existing and emerging markets, including through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entity during the three months ended January 31, 2019:</w:t>
      </w:r>
    </w:p>
    <w:p>
      <w:pPr>
        <w:spacing w:after="0" w:line="171" w:lineRule="exact"/>
        <w:rPr>
          <w:sz w:val="20"/>
          <w:szCs w:val="20"/>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Blanchard Contact Lenses on December 28, 2018 - a privately-held scleral lens company, which expands CooperVision's specialty and scleral lens portfolio.</w:t>
      </w:r>
    </w:p>
    <w:p>
      <w:pPr>
        <w:spacing w:after="0" w:line="11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MyDay</w:t>
      </w:r>
      <w:r>
        <w:rPr>
          <w:rFonts w:ascii="Arial" w:cs="Arial" w:eastAsia="Arial" w:hAnsi="Arial"/>
          <w:sz w:val="24"/>
          <w:szCs w:val="24"/>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4"/>
          <w:szCs w:val="24"/>
          <w:color w:val="auto"/>
          <w:vertAlign w:val="superscript"/>
        </w:rPr>
        <w:t>®</w:t>
      </w:r>
      <w:r>
        <w:rPr>
          <w:rFonts w:ascii="Arial" w:cs="Arial" w:eastAsia="Arial" w:hAnsi="Arial"/>
          <w:sz w:val="17"/>
          <w:szCs w:val="17"/>
          <w:color w:val="auto"/>
        </w:rPr>
        <w:t>, which helps individuals with digital eye fatigue.</w:t>
      </w:r>
    </w:p>
    <w:p>
      <w:pPr>
        <w:spacing w:after="0" w:line="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CooperSurgical - </w:t>
      </w:r>
      <w:r>
        <w:rPr>
          <w:rFonts w:ascii="Arial" w:cs="Arial" w:eastAsia="Arial" w:hAnsi="Arial"/>
          <w:sz w:val="18"/>
          <w:szCs w:val="18"/>
          <w:color w:val="auto"/>
        </w:rPr>
        <w:t>Our CooperSurgical business competes in the general health care market with a commitment to advancing the health of women, babies</w:t>
      </w:r>
      <w:r>
        <w:rPr>
          <w:rFonts w:ascii="Arial" w:cs="Arial" w:eastAsia="Arial" w:hAnsi="Arial"/>
          <w:sz w:val="18"/>
          <w:szCs w:val="18"/>
          <w:i w:val="1"/>
          <w:iCs w:val="1"/>
          <w:color w:val="auto"/>
        </w:rPr>
        <w:t xml:space="preserve"> </w:t>
      </w:r>
      <w:r>
        <w:rPr>
          <w:rFonts w:ascii="Arial" w:cs="Arial" w:eastAsia="Arial" w:hAnsi="Arial"/>
          <w:sz w:val="18"/>
          <w:szCs w:val="18"/>
          <w:color w:val="auto"/>
        </w:rPr>
        <w:t>and families through its diversified portfolio of products and services focusing on women's health, fertility, diagnostics and contraception. CooperSurgical has established its market presence and distribution system by developing products and acquiring companies, products and services that complement its business model.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entity during the three months ended January 31, 2020:</w:t>
      </w:r>
    </w:p>
    <w:p>
      <w:pPr>
        <w:spacing w:after="0" w:line="171" w:lineRule="exact"/>
        <w:rPr>
          <w:sz w:val="20"/>
          <w:szCs w:val="20"/>
          <w:color w:val="auto"/>
        </w:rPr>
      </w:pPr>
    </w:p>
    <w:p>
      <w:pPr>
        <w:ind w:right="4220" w:firstLine="332"/>
        <w:spacing w:after="0" w:line="493"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privately-held distributor of IVF medical devices and systems on December 13, 2019. CooperSurgical acquired the following entity during the three months ended January 31, 2019:</w:t>
      </w: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Incisive Surgical Inc. on December 31, 2018 - a privately-held U.S. medical device company that develops mechanical surgical solutions for skin closure.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January 31, 2020, we had $76.8 million in unrestricted cash, primarily held outside the United States, and $763.8 million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2016 Revolving Credit Facility (as defined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at January 31, 2020 consisted of:</w:t>
      </w:r>
    </w:p>
    <w:p>
      <w:pPr>
        <w:spacing w:after="0" w:line="171" w:lineRule="exact"/>
        <w:rPr>
          <w:sz w:val="20"/>
          <w:szCs w:val="20"/>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billion outstanding on a $1.425 billion syndicated Term Loan Agreement (the 2017 Term Loan Agreement) used to fund the acquisition of PARAGARD, which matures on November 1, 2022</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$500.0 million 364-day senior unsecured term loan agreement (the 2019 Term Loan Agreement), which matures on September 25, 2020</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$235.0 million outstanding on a $1.0 billion multi-currency revolving credit facility (the 2016 Revolving Credit Facility), which matures on March 1, 2021.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See Note 6. Debt of the Consolidated Financial Statements for additional information.</w:t>
      </w:r>
    </w:p>
    <w:p>
      <w:pPr>
        <w:spacing w:after="0" w:line="3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current cash, cash equivalents and future cash flow from operating activities will be sufficient to meet our anticipated cash needs, including working capital needs, capital expenditures and contractual obligations for at least 12 months from the issuance date of the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LIBOR</w:t>
      </w:r>
    </w:p>
    <w:p>
      <w:pPr>
        <w:spacing w:after="0" w:line="2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United Kingdom’s Financial Conduct Authority, which regulates the London Interbank Offered Rate (LIBOR), announced in July 2017 that it will no longer persuade or require banks to submit rates for LIBOR after 2021. We have undertaken an assessment of contracts that will be impacted by the transition away from LIBOR. To date, we have identified that substantially all of our term loan and credit facility agreements include an adjusted LIBOR option.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are not yet able to reasonably estimate the expected impact.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4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88"/>
              </w:rPr>
              <w:t>Percentage of Net Sales</w:t>
            </w:r>
          </w:p>
        </w:tc>
        <w:tc>
          <w:tcPr>
            <w:tcW w:w="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2020 vs 2019</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18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rPr>
              <w:t>% Change in</w:t>
            </w: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Net sales</w:t>
            </w:r>
          </w:p>
        </w:tc>
        <w:tc>
          <w:tcPr>
            <w:tcW w:w="6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Net Sales Growth by Business Unit</w:t>
            </w: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24"/>
                <w:szCs w:val="24"/>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Increase</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712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628.1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w:t>
      </w:r>
    </w:p>
    <w:p>
      <w:pPr>
        <w:spacing w:after="0" w:line="171" w:lineRule="exact"/>
        <w:rPr>
          <w:rFonts w:ascii="Arial" w:cs="Arial" w:eastAsia="Arial" w:hAnsi="Arial"/>
          <w:sz w:val="18"/>
          <w:szCs w:val="18"/>
          <w:color w:val="auto"/>
        </w:rPr>
      </w:pPr>
    </w:p>
    <w:p>
      <w:pPr>
        <w:ind w:left="340" w:right="5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CooperVision Net Sales by Category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554355</wp:posOffset>
            </wp:positionV>
            <wp:extent cx="5143500" cy="2451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4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82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48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Toric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146.0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Multifocal</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49.1</w:t>
            </w:r>
          </w:p>
        </w:tc>
        <w:tc>
          <w:tcPr>
            <w:tcW w:w="148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Single-use spheres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Non single-use sphere, other</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142.9</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470.1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2020:</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Toric lenses grew primarily through the success of Biofinity, clariti and MyDay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Multifocal lenses grew primarily due to higher Biofinity and clariti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Single-use sphere lenses growth was primarily attributed to clariti and MyDay lenses partially offset by a decrease in Proclear and Biomedics sales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Non-single-use spheres decreased due to lower Biofinity and Biomedics sphere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products primarily include lens care which represented approximately 2% of net sales in the first quarter of both fiscal 2020 and 2019</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sales of silicone hydrogel products were partially offset by lower sales of older hydrogel products. Total silicone hydrogel products grew 7% in the first quarter of fiscal 2020, representing 73% of net sales compared to 71% in the prior year period</w:t>
      </w:r>
    </w:p>
    <w:p>
      <w:pPr>
        <w:spacing w:after="0" w:line="116"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exchange rates negatively impacted sales by approximately $2.1 million in the first quarter of fiscal 2020 and $13.3 million in the prior year period, primarily attributable to fluctuations in the Euro. In the first quarter of 2020, net sales increased 4% in constant currency over the prior year period.</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growth was primarily driven by increases in the volume of lenses sold. Average realized prices by product did not materially influence sales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750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CooperVision's regional growth in Americas and EMEA was primarily attributable to market gains of silicone hydrogel contact lenses. However, Asia Pacific remained relatively flat. Refer to CooperVision Net Sales by Category above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117475</wp:posOffset>
            </wp:positionV>
            <wp:extent cx="5143500" cy="2451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4"/>
                <w:szCs w:val="14"/>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710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17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Fertility</w:t>
            </w: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2020:</w:t>
      </w:r>
    </w:p>
    <w:p>
      <w:pPr>
        <w:spacing w:after="0" w:line="171" w:lineRule="exact"/>
        <w:rPr>
          <w:sz w:val="20"/>
          <w:szCs w:val="20"/>
          <w:color w:val="auto"/>
        </w:rPr>
      </w:pPr>
    </w:p>
    <w:p>
      <w:pPr>
        <w:ind w:left="660" w:right="34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Office and surgical products increased compared to the prior year periods due to continued growth in surgical products, primarily Endosee, Uterine Manipulators, Surgical Retractors and acquired products of Incisive Surgical, partially offset by a decrease in revenue from the Filshie Clip system. On February 1, 2019, we agreed to the early</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termination of an exclusive distribution agreement which had given CooperSurgical the rights to distribute the Filshie Clip System in the United States.</w:t>
      </w:r>
    </w:p>
    <w:p>
      <w:pPr>
        <w:spacing w:after="0" w:line="1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Fertility net sales remained relatively flat.</w:t>
      </w:r>
    </w:p>
    <w:p>
      <w:pPr>
        <w:spacing w:after="0" w:line="171" w:lineRule="exact"/>
        <w:rPr>
          <w:rFonts w:ascii="Arial" w:cs="Arial" w:eastAsia="Arial" w:hAnsi="Arial"/>
          <w:sz w:val="18"/>
          <w:szCs w:val="18"/>
          <w:color w:val="auto"/>
        </w:rPr>
      </w:pPr>
    </w:p>
    <w:p>
      <w:pPr>
        <w:jc w:val="both"/>
        <w:ind w:left="660" w:right="34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exchange rates negatively impacted sales by approximately $0.7 million in the first quarter of fiscal 2020 and $2.4 million in the prior year period, primarily attributable to fluctuations in the Euro. In the first quarter of 2020, net sales increased 2% in constant currency over the prior year period.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 growth and product mix positively impacted sales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49"/>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CooperSurgical</w:t>
            </w: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8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8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CooperVision's gross margin decreased in the first quarter of fiscal 2020 compared to fiscal 2019 due to:</w:t>
      </w:r>
    </w:p>
    <w:p>
      <w:pPr>
        <w:spacing w:after="0" w:line="171" w:lineRule="exact"/>
        <w:rPr>
          <w:sz w:val="20"/>
          <w:szCs w:val="20"/>
          <w:color w:val="auto"/>
        </w:rPr>
      </w:pPr>
    </w:p>
    <w:p>
      <w:pPr>
        <w:ind w:left="660" w:right="4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$5.7 million of primarily incremental costs associated with the impact of the earthquake on our Puerto Rico manufacturing facility and other manufacturing related costs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unfavorable impact to margin from changes in product mix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partially offset by an increase in sales of higher margin products including Biofinity</w:t>
      </w:r>
    </w:p>
    <w:p>
      <w:pPr>
        <w:spacing w:after="0" w:line="171" w:lineRule="exact"/>
        <w:rPr>
          <w:rFonts w:ascii="Arial" w:cs="Arial" w:eastAsia="Arial" w:hAnsi="Arial"/>
          <w:sz w:val="18"/>
          <w:szCs w:val="18"/>
          <w:color w:val="auto"/>
        </w:rPr>
      </w:pPr>
    </w:p>
    <w:p>
      <w:pPr>
        <w:ind w:right="740" w:firstLine="332"/>
        <w:spacing w:after="0" w:line="465"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first quarter of fiscal 2019 included $1.2 million of costs consisting primarily of acquisition, integration and manufacturing related costs. CooperSurgical's gross margin decreased in the first quarter of fiscal 2020 compared to fiscal 2019 due to:</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$5.4 million of primarily integration and manufacturing related costs including temporary manufacturing inefficiencies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first quarter of fiscal 2019 included $4.2 million of costs primarily acquisition, integration and manufacturing related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28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130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90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300" w:type="dxa"/>
            <w:vAlign w:val="bottom"/>
          </w:tcPr>
          <w:p>
            <w:pPr>
              <w:jc w:val="right"/>
              <w:ind w:right="23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172.4</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4"/>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168.7</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4"/>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72.4</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94"/>
              </w:rPr>
              <w:t>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68.7</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44%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258.3</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94"/>
              </w:rPr>
              <w:t>40%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250.0</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40%</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CooperVision's SGA increased in the first quarter of fiscal 2020 compared to fiscal 2019 due to investments to support our long-term objectives, including increased headcount in SGA and higher distribution and selling expenses to support revenue growth. CooperVision's SGA in the first quarter of fiscal 2020 included $0.7 million of costs primarily related to integration activities. CooperVision's SGA in the first quarter of fiscal 2019 included $2.4 million of integration and third-party consulting costs.</w:t>
      </w:r>
    </w:p>
    <w:p>
      <w:pPr>
        <w:spacing w:after="0" w:line="13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increase in CooperSurgical's SGA in the first quarter of fiscal 2020 compared to fiscal 2019 was primarily due to higher selling expenses to support revenue growth. CooperSurgical's SGA in the first quarter of fiscal 2020, included $6.1 million of integration expenses and European Medical Devices Regulation costs. CooperSurgical's SGA in the first quarter of fiscal 2019 included $8.4 million of acquisition and integration expenses of acquired companies as well as third-party consulting costs.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80"/>
        <w:spacing w:after="0" w:line="433" w:lineRule="auto"/>
        <w:rPr>
          <w:sz w:val="20"/>
          <w:szCs w:val="20"/>
          <w:color w:val="auto"/>
        </w:rPr>
      </w:pPr>
      <w:r>
        <w:rPr>
          <w:rFonts w:ascii="Arial" w:cs="Arial" w:eastAsia="Arial" w:hAnsi="Arial"/>
          <w:sz w:val="18"/>
          <w:szCs w:val="18"/>
          <w:color w:val="auto"/>
        </w:rPr>
        <w:t xml:space="preserve">The increase in Corporate SGA in the first quarter of fiscal 2020 compared to fiscal 2019 was primarily due to share-based compensation expense. </w:t>
      </w:r>
      <w:r>
        <w:rPr>
          <w:rFonts w:ascii="Arial" w:cs="Arial" w:eastAsia="Arial" w:hAnsi="Arial"/>
          <w:sz w:val="18"/>
          <w:szCs w:val="18"/>
          <w:b w:val="1"/>
          <w:bCs w:val="1"/>
          <w:color w:val="auto"/>
        </w:rPr>
        <w:t>Research and Development Expense (R&amp;D)</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4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2"/>
                <w:szCs w:val="12"/>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2"/>
                <w:szCs w:val="12"/>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 Net</w:t>
            </w:r>
          </w:p>
        </w:tc>
        <w:tc>
          <w:tcPr>
            <w:tcW w:w="146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54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4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9.1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2020:</w:t>
      </w:r>
    </w:p>
    <w:p>
      <w:pPr>
        <w:spacing w:after="0" w:line="171" w:lineRule="exact"/>
        <w:rPr>
          <w:sz w:val="20"/>
          <w:szCs w:val="20"/>
          <w:color w:val="auto"/>
        </w:rPr>
      </w:pPr>
    </w:p>
    <w:p>
      <w:pPr>
        <w:ind w:left="660" w:right="4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CooperVision's R&amp;D decrease in the first quarter of fiscal 2020 compared to fiscal 2019 was mainly due to timing of clinical studies. As a percentage of sales, R&amp;D expense remained flat. CooperVision's R&amp;D activities are primarily focused on the development of contact lenses, manufacturing technology and process enhancements.</w:t>
      </w:r>
    </w:p>
    <w:p>
      <w:pPr>
        <w:spacing w:after="0" w:line="129" w:lineRule="exact"/>
        <w:rPr>
          <w:rFonts w:ascii="Arial" w:cs="Arial" w:eastAsia="Arial" w:hAnsi="Arial"/>
          <w:sz w:val="18"/>
          <w:szCs w:val="18"/>
          <w:color w:val="auto"/>
        </w:rPr>
      </w:pPr>
    </w:p>
    <w:p>
      <w:pPr>
        <w:ind w:left="660" w:right="120" w:hanging="328"/>
        <w:spacing w:after="0" w:line="31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increase in CooperSurgical's R&amp;D in the first quarter of fiscal 2020 compared to fiscal 2019 was primarily due to increased investment and activities in developing new products and services and upgrades of existing products. As a percentage of sales, R&amp;D expense remained relatively flat. CooperSurgical's R&amp;D activities include diagnostics, IVF product development and the design and upgrade of surgical procedure devices.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4"/>
                <w:szCs w:val="1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22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6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2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CooperVision amortization expense decreased in the first quarter of fiscal 2020 compared to fiscal 2019 due to certain intangible assets becoming fully amortized.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amortization expense remained relatively flat.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28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122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98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22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CooperVision operating income remained flat as a percentage of net sales but increased in absolute dollars in the first quarter of fiscal 2020 compared to fiscal 2019 primarily due to net sales increasing more than operating expenses and a decrease in amortization expenses partially offset by the negative impact of foreign exchange rates.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CooperSurgical operating income decreased in the first quarter of fiscal 2020 compared to fiscal 2019 due to higher selling and R&amp;D expenses to support growth.</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of Corporate operating loss in the first quarter of fiscal 2020 compared to fiscal 2019 was primarily due to higher stock-based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a consolidated basis, operating income increased in absolute dollars and remained relatively flat as a percentage of net sales due to the factors above.</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4"/>
                <w:szCs w:val="14"/>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 Net</w:t>
            </w: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6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Sales</w:t>
            </w: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11.6</w:t>
            </w:r>
          </w:p>
        </w:tc>
        <w:tc>
          <w:tcPr>
            <w:tcW w:w="15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  $</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remained relatively flat as a percentage of net sales and decreased in absolute dollars primarily due to lower average debt balances and lower interest rates compared to the prior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40" w:type="dxa"/>
            <w:vAlign w:val="bottom"/>
          </w:tcPr>
          <w:p>
            <w:pPr>
              <w:spacing w:after="0"/>
              <w:rPr>
                <w:sz w:val="14"/>
                <w:szCs w:val="14"/>
                <w:color w:val="auto"/>
              </w:rPr>
            </w:pPr>
          </w:p>
        </w:tc>
        <w:tc>
          <w:tcPr>
            <w:tcW w:w="11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818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80"/>
        <w:spacing w:after="0" w:line="438" w:lineRule="auto"/>
        <w:rPr>
          <w:sz w:val="20"/>
          <w:szCs w:val="20"/>
          <w:color w:val="auto"/>
        </w:rPr>
      </w:pPr>
      <w:r>
        <w:rPr>
          <w:rFonts w:ascii="Arial" w:cs="Arial" w:eastAsia="Arial" w:hAnsi="Arial"/>
          <w:sz w:val="18"/>
          <w:szCs w:val="18"/>
          <w:color w:val="auto"/>
        </w:rPr>
        <w:t xml:space="preserve">Foreign exchange loss (gain) primarily resulted from the revaluation and settlement of foreign currency-denominated balances. </w:t>
      </w:r>
      <w:r>
        <w:rPr>
          <w:rFonts w:ascii="Arial" w:cs="Arial" w:eastAsia="Arial" w:hAnsi="Arial"/>
          <w:sz w:val="18"/>
          <w:szCs w:val="18"/>
          <w:b w:val="1"/>
          <w:bCs w:val="1"/>
          <w:color w:val="auto"/>
        </w:rPr>
        <w:t>Provision for Income Taxes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effective tax rates were an expense of 7.1% and a benefit of 10.0% for the first quarter of fiscal 2020 and fiscal 2019, respectively. The increase in our effective tax rate for the first quarter of fiscal 2020 compared to the first quarter of fiscal 2019 was primarily attributable to tax benefits for settlement of tax audits and revisions to the provisional tax charges related to the 2017 Tax Cuts and Jobs Act during the prior year period. Our effective tax rate for the first quarter of fiscal 2020 was lower than the U.S. statutory tax rate because of discrete tax benefits and a favorable mix of income from our foreign jurisdictions with preferential tax rates. Total discrete tax benefits for the first quarter of fiscal 2020 were $3.8 million primarily relating to excess tax benefits from share-based compensation. Our effective tax rate for the first quarter of fiscal 2019 was lower than the U.S. statutory rate due to discrete tax benefits and a favorable mix of income from our foreign jurisdictions with lower tax rates.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has several share-based compensation plans that are described in our Annual Report on Form 10-K for the fiscal year ended October 31, 2019. The compensation expense and related income tax benefit recognized in our Consolidated Statements of Income for share-based awards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32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4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43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3480" w:type="dxa"/>
            <w:vAlign w:val="bottom"/>
            <w:tcBorders>
              <w:bottom w:val="single" w:sz="8" w:color="CCEEFF"/>
            </w:tcBorders>
          </w:tcPr>
          <w:p>
            <w:pPr>
              <w:spacing w:after="0"/>
              <w:rPr>
                <w:sz w:val="5"/>
                <w:szCs w:val="5"/>
                <w:color w:val="auto"/>
              </w:rPr>
            </w:pPr>
          </w:p>
        </w:tc>
        <w:tc>
          <w:tcPr>
            <w:tcW w:w="43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Related income tax benefit</w:t>
            </w:r>
          </w:p>
        </w:tc>
        <w:tc>
          <w:tcPr>
            <w:tcW w:w="4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cash flow was $129.7 million compared to $101.8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$69.0 million compared to $79.2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payments for acquisitions and others, of $9.4 million, compared to $50.0 million in the prior year period</w:t>
      </w:r>
    </w:p>
    <w:p>
      <w:pPr>
        <w:spacing w:after="0" w:line="171"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provided by operations $129.7 million offset by capital expenditures $69.0 million resulted in free cash flow of $60.7 million, up 169%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31, 2020</w:t>
            </w:r>
          </w:p>
        </w:tc>
        <w:tc>
          <w:tcPr>
            <w:tcW w:w="320" w:type="dxa"/>
            <w:vAlign w:val="bottom"/>
          </w:tcPr>
          <w:p>
            <w:pPr>
              <w:spacing w:after="0"/>
              <w:rPr>
                <w:sz w:val="14"/>
                <w:szCs w:val="14"/>
                <w:color w:val="auto"/>
              </w:rPr>
            </w:pPr>
          </w:p>
        </w:tc>
        <w:tc>
          <w:tcPr>
            <w:tcW w:w="1780" w:type="dxa"/>
            <w:vAlign w:val="bottom"/>
          </w:tcPr>
          <w:p>
            <w:pPr>
              <w:jc w:val="right"/>
              <w:ind w:right="432"/>
              <w:spacing w:after="0"/>
              <w:rPr>
                <w:sz w:val="20"/>
                <w:szCs w:val="20"/>
                <w:color w:val="auto"/>
              </w:rPr>
            </w:pPr>
            <w:r>
              <w:rPr>
                <w:rFonts w:ascii="Arial" w:cs="Arial" w:eastAsia="Arial" w:hAnsi="Arial"/>
                <w:sz w:val="14"/>
                <w:szCs w:val="14"/>
                <w:b w:val="1"/>
                <w:bCs w:val="1"/>
                <w:color w:val="auto"/>
              </w:rPr>
              <w:t>October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89.0</w:t>
            </w:r>
          </w:p>
        </w:tc>
      </w:tr>
      <w:tr>
        <w:trPr>
          <w:trHeight w:val="243"/>
        </w:trPr>
        <w:tc>
          <w:tcPr>
            <w:tcW w:w="40" w:type="dxa"/>
            <w:vAlign w:val="bottom"/>
          </w:tcPr>
          <w:p>
            <w:pPr>
              <w:spacing w:after="0"/>
              <w:rPr>
                <w:sz w:val="21"/>
                <w:szCs w:val="21"/>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6,548.5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6,274.5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52.8</w:t>
            </w:r>
          </w:p>
        </w:tc>
      </w:tr>
      <w:tr>
        <w:trPr>
          <w:trHeight w:val="243"/>
        </w:trPr>
        <w:tc>
          <w:tcPr>
            <w:tcW w:w="40" w:type="dxa"/>
            <w:vAlign w:val="bottom"/>
          </w:tcPr>
          <w:p>
            <w:pPr>
              <w:spacing w:after="0"/>
              <w:rPr>
                <w:sz w:val="21"/>
                <w:szCs w:val="21"/>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1,776.7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1,826.3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3,628.5</w:t>
            </w:r>
          </w:p>
        </w:tc>
      </w:tr>
      <w:tr>
        <w:trPr>
          <w:trHeight w:val="243"/>
        </w:trPr>
        <w:tc>
          <w:tcPr>
            <w:tcW w:w="40" w:type="dxa"/>
            <w:vAlign w:val="bottom"/>
          </w:tcPr>
          <w:p>
            <w:pPr>
              <w:spacing w:after="0"/>
              <w:rPr>
                <w:sz w:val="21"/>
                <w:szCs w:val="21"/>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Ratio of debt to equity</w:t>
            </w:r>
          </w:p>
        </w:tc>
        <w:tc>
          <w:tcPr>
            <w:tcW w:w="3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0.48:1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0.50:1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as a percentage of total capitalization</w:t>
            </w: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working capital at January 31, 2020 from the end of fiscal 2019 was primarily due to:</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other current liabilities $32.3 million due to timing of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short-term debt $20.7 million due to payment of overdraft and other credit facilities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employee compensation and benefits $12.2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inventories $19.6 million,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recognition of current operating lease liabilities $31.5 million on adoption of ASC 842 Leases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trade accounts receivable $27.3 million primarily due to timing of collections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cash $12.2 million.</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January 31, 2020, our inventory months on hand were 7.2 compared to 6.4 at October 31, 2019. The $19.6 million increase in inventories was primarily due to increase in finished goods and raw materials to support demand and production levels.</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days sales outstanding (DSO) increased to 60 days at January 31, 2020, compared to 56 days at October 31, 2019, primarily due to increased revenue and timing of collections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provided by operating activities increased by $27.9 million from $101.8 million in the first quarter of fiscal 2019 to $129.7 million in the first quarter of fiscal 2020. This increase in cash flow provided by operating activities primarily consists of:</w:t>
      </w:r>
    </w:p>
    <w:p>
      <w:pPr>
        <w:spacing w:after="0" w:line="170" w:lineRule="exact"/>
        <w:rPr>
          <w:sz w:val="20"/>
          <w:szCs w:val="20"/>
          <w:color w:val="auto"/>
        </w:rPr>
      </w:pPr>
    </w:p>
    <w:p>
      <w:pPr>
        <w:ind w:left="660" w:right="3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$36.1 million in non-cash items, from $(16.9) million in the first quarter of fiscal 2019 to $19.2 million in the first quarter of fiscal 2020</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$2.7 million in net cash flow from changes in operating capital, from $53.3 million outflow in the first quarter of fiscal 2019 to $50.6 million outflow in the first quarter of fiscal 2020, partially offset by;</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in net income of $12.7 million from a net income of $103.2 million in the first quarter of fiscal 2019 to $90.5 million in the first quarter of fiscal 2020</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decrease in net income of $12.7 million is due to an increase in tax expense in the first quarter of fiscal 2020 compared to a tax benefit in the first quarter of fiscal 2019 primarily attributable to tax benefits for settlement of tax audits and revisions to the provisional tax charges related to the 2017 Tax Cuts and Jobs Act during the prior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$36.1 million increase in non-cash items compared to the prior year period is primarily due to:</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of $29.9 million driven by net changes in long term tax liabilities, deferred taxes and defined benefit pension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$8.2 million in non-cash lease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$2.7 million increase in the net cash flow from changes in operating capital compared to the prior year period is primarily due to:</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$53.8 million increase in the net changes in trade and other receivables primarily from increased revenue and timing of collections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$13.5 million increase in the net changes in inventories, partially offset by;</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$22.2 million decrease in the net changes in prepayments and other assets primarily due to the refund of the prepayment made to the U.K. Tax Authorities in the prior year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$15.9 million decrease in the net changes in accrued liabilities &amp; other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$14.5 million decrease in the net changes in income tax payable.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used in investing activities decreased by $50.8 million to $78.4 million in the first quarter of fiscal 2020 from $129.2 million in the first quarter of fiscal 2019 due to:</w:t>
      </w:r>
    </w:p>
    <w:p>
      <w:pPr>
        <w:spacing w:after="0" w:line="170" w:lineRule="exact"/>
        <w:rPr>
          <w:sz w:val="20"/>
          <w:szCs w:val="20"/>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of $40.6 million in payments made for acquisitions in the first quarter of fiscal 2020 compared to the prior year period, largely due to the acquisition of Incisive Surgical Inc. and Blanchard Contact Lenses in the first quarter of fiscal 2019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of $10.2 million in capital expenditures.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flows from financing activities decreased by $156.4 million to $63.2 million cash outflow in the first quarter of fiscal 2020 compared to $93.2 million inflow in the first quarter of fiscal 2019, primarily due to:</w:t>
      </w:r>
    </w:p>
    <w:p>
      <w:pPr>
        <w:spacing w:after="0" w:line="170" w:lineRule="exact"/>
        <w:rPr>
          <w:sz w:val="20"/>
          <w:szCs w:val="20"/>
          <w:color w:val="auto"/>
        </w:rPr>
      </w:pPr>
    </w:p>
    <w:p>
      <w:pPr>
        <w:ind w:left="660" w:right="1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$428.3 million decrease in net proceeds from short-term debt, primarily due to $400 million short term loan taken on November 1, 2018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$269.9 million decrease in net repayments of long-term debt.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2019 Term Loan Agreement and the 2017 Term Loan Agreement contain customary restrictive covenants, as well as financial covenants that require the Company to maintain a certain Total Leverage Ratio and Interest Coverage Ratio (each as defined in the 2019 Term Loan Agreement and 2017 Term Loan Agreement) consistent with the 2016 Credit Agreement. As defined, in the 2019 Term Loan Agreement, the 2017 Term Loan Agreement and the 2016 Credit Agreement, we are required to maintain an Interest Coverage Ratio of at least 3.00 to 1.00, and a Total Leverage Ratio of no higher than 3.75 to</w:t>
      </w:r>
    </w:p>
    <w:p>
      <w:pPr>
        <w:sectPr>
          <w:pgSz w:w="11900" w:h="16838" w:orient="portrait"/>
          <w:cols w:equalWidth="0" w:num="1">
            <w:col w:w="11200"/>
          </w:cols>
          <w:pgMar w:left="320" w:top="121" w:right="379" w:bottom="1440" w:gutter="0" w:footer="0" w:header="0"/>
        </w:sectPr>
      </w:pP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1.00. At January 31, 2020, we were in compliance with the Interest Coverage Ratio at 15.26 to 1.00 and the Total Leverage Ratio at 1.82 to 1.00.</w:t>
      </w:r>
    </w:p>
    <w:p>
      <w:pPr>
        <w:spacing w:after="0" w:line="23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At January 31, 2020, we had $500.0 million outstanding under the 2019 Term Loan Agreement, $1.0 billion outstanding under the 2017 Term Loan Agreement, $235.0 million outstanding under the 2016 Revolving Credit Facility and $763.8 million available under the 2016 Revolving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There was no share repurchase activity during the first quarter ended January 31, 2020. In the first quarter of fiscal 2019, we repurchased 24.5 thousand shares of our common stock for $6.1 million at an average purchase price of $248.70 per share. At January 31, 2020, $407.4 million remains authorized for repurchase under the program.</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2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non-GAAP financial measures that may be included in this MD&amp;A and the reasons management believes they are useful to investors are described below. These measures should be considered supplemental in nature and are not intended to be a substitute for the related financial information prepared in accordance with U.S. GAAP. In addition, these measures may not be the same as similarly named measures presented by other companies.</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Free cash flow is defined as cash provided by operating activities less capital expenditures. Management believes free cash flow is useful for investors as an additional measure of liquidity because it represents 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Constant currency is defined as excluding the effect of foreign currency rate fluctuations. In order to assist with the assessment of how our underlying businesses performed, we compare the percentage change in revenues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2019. There have been no material changes in our policies from those previously discussed in our Form 10-K for the fiscal year October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General of the Condensed Consolidated Financial Statements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Aquaform</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Avaira Vitality</w:t>
      </w:r>
      <w:r>
        <w:rPr>
          <w:rFonts w:ascii="Arial" w:cs="Arial" w:eastAsia="Arial" w:hAnsi="Arial"/>
          <w:sz w:val="25"/>
          <w:szCs w:val="25"/>
          <w:color w:val="auto"/>
          <w:vertAlign w:val="superscript"/>
        </w:rPr>
        <w:t>®</w:t>
      </w:r>
      <w:r>
        <w:rPr>
          <w:rFonts w:ascii="Arial" w:cs="Arial" w:eastAsia="Arial" w:hAnsi="Arial"/>
          <w:sz w:val="18"/>
          <w:szCs w:val="18"/>
          <w:color w:val="auto"/>
        </w:rPr>
        <w:t>,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MiSight</w:t>
      </w:r>
      <w:r>
        <w:rPr>
          <w:rFonts w:ascii="Arial" w:cs="Arial" w:eastAsia="Arial" w:hAnsi="Arial"/>
          <w:sz w:val="25"/>
          <w:szCs w:val="25"/>
          <w:color w:val="auto"/>
          <w:vertAlign w:val="superscript"/>
        </w:rPr>
        <w:t>®</w:t>
      </w:r>
      <w:r>
        <w:rPr>
          <w:rFonts w:ascii="Arial" w:cs="Arial" w:eastAsia="Arial" w:hAnsi="Arial"/>
          <w:sz w:val="18"/>
          <w:szCs w:val="18"/>
          <w:color w:val="auto"/>
        </w:rPr>
        <w:t>, ActiveControl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Proclear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and FIPS™ are trademarks of The Cooper Companies, Inc., its affiliates and/or subsidiaries. The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CooperSurgical,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Most of our operations outside the United States have their local currency as their functional currency. We are exposed to risks caused by changes in foreign exchange, principally our British pound sterling, euro, Japanese yen, Danish krone, Swedish krona and Australian dollar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 The Company did not have any derivative assets or liabilities that may include interest rate swaps, cross currency swaps or foreign currency forward contracts as of January 31, 2020 and October 31, 2019.</w:t>
      </w:r>
    </w:p>
    <w:p>
      <w:pPr>
        <w:spacing w:after="0" w:line="1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September 27, 2019, we extended the maturity of the 2018 Term Loan Agreement to September 25, 2020 and increased the amount to $500.0 million (as so amended, the 2019 Term Loan Agreement). We used the additional funds to partially repay outstanding borrowings under the 2017 Term Loan Agreement. At January 31, 2020, the Company had $500 million outstanding under the 2019 Term Loan Agreement.</w:t>
      </w:r>
    </w:p>
    <w:p>
      <w:pPr>
        <w:spacing w:after="0" w:line="11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November 1, 2017, in connection with the PARAGARD acquisition, we entered into a five-year, $1.425 billion, senior unsecured term loan agreement (the 2017 Term Loan Agreement) by and among us, the lenders party thereto and DNB Bank ASA, New York Branch, as administrative agent which matures on November 1, 2022. We used part of the facility to fund the PARAGARD acquisition and used the remainder of the funds to partially repay outstanding borrowings under our revolving credit agreement. At January 31, 2020, we had $1.0 billion outstanding under the 2017 Term Loan Agreement.</w:t>
      </w:r>
    </w:p>
    <w:p>
      <w:pPr>
        <w:spacing w:after="0" w:line="10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March 1, 2016, the Company entered into a Revolving Credit and Term Loan Agreement (the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(the 2016 Revolving Credit Facility) and a term loan facility in an aggregate principal amount of $830.0 million (the 2016 Term Loan Facility), each of which, unless terminated earlier, mature on March 1, 2021. In addition, the Company has the ability from time to time to request an increase to the size of the 2016 Revolving Credit Facility or establish one or more new term loans under the 2016 Term Loan Facility in an aggregate amount up to $750.0 million, subject to the discretionary participation of the lenders. At January 31, 2020, the Company had no outstanding balance under the 2016 Term Loan Facility and $235.0 million outstanding under the 2016 Revolving Credit Facility. $763.8 million was available under the 2016 Revolving Credit Facility.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interest rates were to increase or decrease by 1% or 100 basis points, quarterly interest expense would increase or decrease by approximately $4.6 million based on average debt outstanding for the first quarter of fiscal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6. Debt of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39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 xml:space="preserve">Effective November 1, 2019, we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Changes were made to the relevant business processes and the related control activities, including information systems, in order to monitor and maintain appropriate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controls over financial reporting. There were no other changes in our internal control over financial reporting</w:t>
      </w:r>
    </w:p>
    <w:p>
      <w:pPr>
        <w:spacing w:after="0" w:line="9"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identified in connection with the evaluation required by Rule 13a-15(d) and 15d-15(d) of the Exchange Act that occurred during the first quarter of fiscal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9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legal proceedings is included in Note 13. Contingencies of this Quarterly Report on Form 10-Q.</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Risk factors describing the major risks to our business can be found under Item 1A. Risk Factors in our Annual Report on Form 10-K for the fiscal year ended October 31, 2019. In the first quarter of fiscal 2020, we updated some of our risk factors as described below. There are no other material changes in our risk factors from those previously discussed in our Form 10-K for the fiscal year ended October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and expanding international operations are subject to uncertainties which could affect our operating results.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Over half of our net sales for the fiscal years ended October 31, 2019 and 2018,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w:t>
      </w:r>
    </w:p>
    <w:p>
      <w:pPr>
        <w:spacing w:after="0" w:line="17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difficulty enforcing intellectual property rights in some foreign countries;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have difficulty gaining market share in countries such as Japan and China because of regulatory restrictions and customer preferences;</w:t>
      </w:r>
    </w:p>
    <w:p>
      <w:pPr>
        <w:spacing w:after="0" w:line="128" w:lineRule="exact"/>
        <w:rPr>
          <w:rFonts w:ascii="Arial" w:cs="Arial" w:eastAsia="Arial" w:hAnsi="Arial"/>
          <w:sz w:val="17"/>
          <w:szCs w:val="17"/>
          <w:color w:val="auto"/>
        </w:rPr>
      </w:pPr>
    </w:p>
    <w:p>
      <w:pPr>
        <w:ind w:left="340" w:right="10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find it difficult to grow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75" w:lineRule="exact"/>
        <w:rPr>
          <w:rFonts w:ascii="Arial" w:cs="Arial" w:eastAsia="Arial" w:hAnsi="Arial"/>
          <w:sz w:val="18"/>
          <w:szCs w:val="18"/>
          <w:color w:val="auto"/>
        </w:rPr>
      </w:pPr>
    </w:p>
    <w:p>
      <w:pPr>
        <w:ind w:left="340" w:right="140" w:hanging="332"/>
        <w:spacing w:after="0" w:line="286"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tax rates in some foreign countries may exceed those of the United States, and foreign earnings may be subject to withholding requirements or the imposition of tariffs, exchange controls or other restrictions, including the tariffs enacted by the U.S. government on various imports from China and by the Chinese government on certain U.S. goods, the scope and duration of which remain uncertain;</w:t>
      </w:r>
    </w:p>
    <w:p>
      <w:pPr>
        <w:spacing w:after="0" w:line="57" w:lineRule="exact"/>
        <w:rPr>
          <w:rFonts w:ascii="Arial" w:cs="Arial" w:eastAsia="Arial" w:hAnsi="Arial"/>
          <w:sz w:val="17"/>
          <w:szCs w:val="17"/>
          <w:color w:val="auto"/>
        </w:rPr>
      </w:pPr>
    </w:p>
    <w:p>
      <w:pPr>
        <w:ind w:left="340" w:right="20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find it difficult to comply with a variety of United States and foreign legal, compliance and regulatory requirements such as the Foreign Corrupt Practices Act, the Dodd-Frank Wall Street Reform and Consumer Protection Act, the United Kingdom (U.K.) Bribery Act and international data security and privacy laws and MDR and IVDR;</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find it difficult to manage a large organization spread throughout various countries;</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could adversely affect our results;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customers may have longer payment cycles than customers in the United States;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comply with United States Department of Commerce and other nations' import-export controls may result in fines and/or penalties;</w:t>
      </w:r>
    </w:p>
    <w:p>
      <w:pPr>
        <w:spacing w:after="0" w:line="128"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where we operate may have an adverse effect on our operations in those countries or not be favorable to our growth strategy;</w:t>
      </w:r>
    </w:p>
    <w:p>
      <w:pPr>
        <w:spacing w:after="0" w:line="62"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(including pandemics), war, terrorism, labor disruptions and international conflicts may cause significant economic disruption and political and social instability, resulting in decreased demand for our products, adversely affecting our manufacturing and distribution capabilities, or causing interruptions in our supply chain;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320" w:top="391" w:right="399" w:bottom="1440" w:gutter="0" w:footer="0" w:header="0"/>
        </w:sectPr>
      </w:pPr>
    </w:p>
    <w:bookmarkStart w:id="36" w:name="page37"/>
    <w:bookmarkEnd w:id="36"/>
    <w:p>
      <w:pPr>
        <w:ind w:left="340" w:right="8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governments may adopt regulations, including those similar to MDR and IVDR or take other actions that would have a direct or indirect adverse impact on our business and market opportunities, including but not limited to increased enforcement of potentially conflicting and ambiguous anti-bribery laws;</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difficulty enforcing agreements and collecting receivables through some foreign legal systems; and</w:t>
      </w:r>
    </w:p>
    <w:p>
      <w:pPr>
        <w:spacing w:after="0" w:line="117"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unforeseen economic or political events in certain countries that may have an impact on our customers' ability or preferences to buy our products.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recent outbreak of a strain of the coronavirus referred to as COVID-19, which has begun to spread globally, will have a negative impact on our near-term financial results as a result of deferred or lost sales and disrupted supply chain and operations. The longer-term impact is difficult to assess or predict at this time and depending on the scope of the spread and intensity of this coronavirus outbreak, it could have a material adverse effect on other aspects of our operations or the operations of our significant suppliers and customers.</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8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 results of the United Kingdom’s withdrawal from the European Union may have a negative effect on global economic conditions, financial markets and our business.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 multinational company headquartered in the United States with worldwide operations, with significant business operations in Europe, including in the United Kingdom. In June 2016, a majority of voters in the United Kingdom elected to withdraw from the European Union in a national referendum (Brexit). In March 2017, the government of the United Kingdom formally gave notice of its intent to withdraw from the European Union (EU). On January 31, 2020, the United Kingdom ceased to be a member state of the EU. EU law applicable to the United Kingdom continues to apply to and in the United Kingdom for the duration of a transition period which is presently scheduled to expire on December 31, 2020 (the “Transition Period”). During the Transition Period, the EU and the United Kingdom will negotiate the terms of their future relationship. There is no assurance that such negotiations will be successful and it is uncertain what, if any, laws similar to those of the EU will continue to apply in and to the United Kingdom following the expiration of the Transition Period. Since a significant proportion of the United Kingdom’s regulatory framework is derived from EU directives and regulations, EU law ceasing to apply in and to the United Kingdom following the expiration of the Transition Period could materially impact the regulatory regime with respect to the movement and approval of our products to and from the United Kingdom and EU. We could face new regulatory costs and challenges that could have a material adverse effect on our business, financial condition, cash flows and results of operations. Until expiration of the Transition Period and the future relationship between the EU and the United Kingdom is established, it is difficult to anticipate Brexit’s potential impact.</w:t>
      </w:r>
    </w:p>
    <w:p>
      <w:pPr>
        <w:spacing w:after="0" w:line="16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Cybersecurity threats continue to increase in frequency and sophistication; a successful cybersecurity attack could interrupt or disrupt our information technology systems or cause the loss of confidential or protected data which could disrupt our business, force us to incur excessive costs or cause reputational harm.</w:t>
      </w:r>
    </w:p>
    <w:p>
      <w:pPr>
        <w:spacing w:after="0" w:line="18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size and complexity of our information systems make such systems potentially vulnerable to service interruptions or to security breaches from inadvertent or intentional actions by our employees or vendors, or from attacks by malicious third parties. Such attacks are of ever-increasing levels of sophistication and are made by groups and individuals with a wide range of motives and expertise.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340"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first quarter ended January 31, 2020.</w:t>
      </w:r>
    </w:p>
    <w:p>
      <w:pPr>
        <w:spacing w:after="0" w:line="2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Share Repurchase Program was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2020, approximately $407.4 million remained authorized under the 2012 Share Repurchase Program.</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84"/>
        </w:trPr>
        <w:tc>
          <w:tcPr>
            <w:tcW w:w="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1480" w:type="dxa"/>
            <w:vAlign w:val="bottom"/>
            <w:gridSpan w:val="3"/>
          </w:tcPr>
          <w:p>
            <w:pPr>
              <w:spacing w:after="0" w:line="190" w:lineRule="exact"/>
              <w:rPr>
                <w:sz w:val="20"/>
                <w:szCs w:val="20"/>
                <w:color w:val="auto"/>
              </w:rPr>
            </w:pPr>
            <w:r>
              <w:rPr>
                <w:rFonts w:ascii="Arial" w:cs="Arial" w:eastAsia="Arial" w:hAnsi="Arial"/>
                <w:sz w:val="18"/>
                <w:szCs w:val="18"/>
                <w:color w:val="auto"/>
              </w:rPr>
              <w:t>Number</w:t>
            </w:r>
          </w:p>
        </w:tc>
        <w:tc>
          <w:tcPr>
            <w:tcW w:w="8940" w:type="dxa"/>
            <w:vAlign w:val="bottom"/>
            <w:gridSpan w:val="9"/>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0000FF"/>
                <w:w w:val="94"/>
              </w:rPr>
            </w:pPr>
            <w:hyperlink r:id="rId14">
              <w:r>
                <w:rPr>
                  <w:rFonts w:ascii="Arial" w:cs="Arial" w:eastAsia="Arial" w:hAnsi="Arial"/>
                  <w:sz w:val="18"/>
                  <w:szCs w:val="18"/>
                  <w:color w:val="0000FF"/>
                  <w:w w:val="94"/>
                </w:rPr>
                <w:t>The Cooper Companies, Inc. 2020 Incentive Payment Plan, incorporated by reference to Exhibit 10.1 to the Company's</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Current Report on form 8-K dated December 16, 2019</w:t>
              </w:r>
            </w:hyperlink>
          </w:p>
        </w:tc>
        <w:tc>
          <w:tcPr>
            <w:tcW w:w="36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85"/>
        </w:trPr>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Transition and Retirement Agreement entered into by and between The Cooper Companies, Inc. and Randal L. Golden as of</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9"/>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February 15, 2020</w:t>
              </w:r>
            </w:hyperlink>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Certification of the Chief Executive Officer, pursuant to Rule 13a-14(a) under the Securities Exchange Act of 1934</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of the Chief Financial Officer, pursuant to Rule 13a-14(a) under the Securities Exchange Act of 1934</w:t>
              </w:r>
            </w:hyperlink>
          </w:p>
        </w:tc>
        <w:tc>
          <w:tcPr>
            <w:tcW w:w="40" w:type="dxa"/>
            <w:vAlign w:val="bottom"/>
            <w:tcBorders>
              <w:top w:val="single" w:sz="8" w:color="0000FF"/>
            </w:tcBorders>
          </w:tcPr>
          <w:p>
            <w:pPr>
              <w:spacing w:after="0"/>
              <w:rPr>
                <w:sz w:val="24"/>
                <w:szCs w:val="24"/>
                <w:color w:val="auto"/>
              </w:rPr>
            </w:pPr>
          </w:p>
        </w:tc>
        <w:tc>
          <w:tcPr>
            <w:tcW w:w="660" w:type="dxa"/>
            <w:vAlign w:val="bottom"/>
            <w:gridSpan w:val="2"/>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the Chief Executive Officer, pursuant to 18 U.S.C. Section 1350</w:t>
              </w:r>
            </w:hyperlink>
          </w:p>
        </w:tc>
        <w:tc>
          <w:tcPr>
            <w:tcW w:w="3160" w:type="dxa"/>
            <w:vAlign w:val="bottom"/>
            <w:gridSpan w:val="4"/>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the Chief Financial Officer, pursuant to 18 U.S.C. Section 1350</w:t>
              </w:r>
            </w:hyperlink>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20" w:type="dxa"/>
            <w:vAlign w:val="bottom"/>
            <w:gridSpan w:val="4"/>
            <w:shd w:val="clear" w:color="auto" w:fill="0000FF"/>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r>
      <w:tr>
        <w:trPr>
          <w:trHeight w:val="506"/>
        </w:trPr>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101.1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w w:val="91"/>
              </w:rPr>
              <w:t>The following materials from the Company's Quarterly Report on Form 10-Q for the three months period ended January 31,</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w w:val="95"/>
              </w:rPr>
              <w:t>2020, formatted in Inline XBRL (Extensible Business Reporting Language): (i) Consolidated Statements of Income, (ii)</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w w:val="95"/>
              </w:rPr>
              <w:t>Consolidated Statements of Comprehensive Income, (iii) Consolidated Condensed Balance Sheets, (iv) Consolidated</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w w:val="93"/>
              </w:rPr>
              <w:t>Condensed Statements of Stockholders' Equity, (v) Consolidated Condensed Statements of Cash Flows and (vi) related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rPr>
              <w:t>Notes to Consolidated Condensed Financial Statements.</w:t>
            </w:r>
          </w:p>
        </w:tc>
      </w:tr>
      <w:tr>
        <w:trPr>
          <w:trHeight w:val="405"/>
        </w:trPr>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104.1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59"/>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20" w:type="dxa"/>
            <w:vAlign w:val="bottom"/>
            <w:gridSpan w:val="4"/>
          </w:tcPr>
          <w:p>
            <w:pPr>
              <w:ind w:left="402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120"/>
          </w:cols>
          <w:pgMar w:left="320" w:top="391"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12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Senior Vice President, Chief Financial Officer &amp; Treasurer</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712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Agostino Ricupati</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Accounting Officer &amp; Senior Vice President, Finance &amp; Tax</w:t>
      </w:r>
    </w:p>
    <w:p>
      <w:pPr>
        <w:spacing w:after="0" w:line="4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340"/>
          </w:cols>
          <w:pgMar w:left="320" w:top="391" w:right="1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AND RETIREMENT AGREEMENT</w:t>
      </w:r>
    </w:p>
    <w:p>
      <w:pPr>
        <w:spacing w:after="0" w:line="22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This Transition and Retirement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Randal Golden (“</w:t>
      </w:r>
      <w:r>
        <w:rPr>
          <w:rFonts w:ascii="Arial" w:cs="Arial" w:eastAsia="Arial" w:hAnsi="Arial"/>
          <w:sz w:val="18"/>
          <w:szCs w:val="18"/>
          <w:u w:val="single" w:color="auto"/>
          <w:color w:val="auto"/>
        </w:rPr>
        <w:t>Executive</w:t>
      </w:r>
      <w:r>
        <w:rPr>
          <w:rFonts w:ascii="Arial" w:cs="Arial" w:eastAsia="Arial" w:hAnsi="Arial"/>
          <w:sz w:val="18"/>
          <w:szCs w:val="18"/>
          <w:color w:val="auto"/>
        </w:rPr>
        <w:t>”) and The Cooper Companies,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is made effective as of the eighth (8</w:t>
      </w:r>
      <w:r>
        <w:rPr>
          <w:rFonts w:ascii="Arial" w:cs="Arial" w:eastAsia="Arial" w:hAnsi="Arial"/>
          <w:sz w:val="25"/>
          <w:szCs w:val="25"/>
          <w:color w:val="auto"/>
          <w:vertAlign w:val="superscript"/>
        </w:rPr>
        <w:t>th</w:t>
      </w:r>
      <w:r>
        <w:rPr>
          <w:rFonts w:ascii="Arial" w:cs="Arial" w:eastAsia="Arial" w:hAnsi="Arial"/>
          <w:sz w:val="18"/>
          <w:szCs w:val="18"/>
          <w:color w:val="auto"/>
        </w:rPr>
        <w:t>) day after the date Executive signs this Agreement (the “</w:t>
      </w:r>
      <w:r>
        <w:rPr>
          <w:rFonts w:ascii="Arial" w:cs="Arial" w:eastAsia="Arial" w:hAnsi="Arial"/>
          <w:sz w:val="18"/>
          <w:szCs w:val="18"/>
          <w:u w:val="single" w:color="auto"/>
          <w:color w:val="auto"/>
        </w:rPr>
        <w:t>Effective Date</w:t>
      </w:r>
      <w:r>
        <w:rPr>
          <w:rFonts w:ascii="Arial" w:cs="Arial" w:eastAsia="Arial" w:hAnsi="Arial"/>
          <w:sz w:val="18"/>
          <w:szCs w:val="18"/>
          <w:color w:val="auto"/>
        </w:rPr>
        <w:t>”) with reference to the following facts:</w:t>
      </w:r>
    </w:p>
    <w:p>
      <w:pPr>
        <w:spacing w:after="0" w:line="20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Executive acknowledges that his status as Vice President, General Counsel and Corporate Secretary shall end on February 15, 2020 with his election to retire from, and relinquish, those titles and all duties and responsibilities associated with them. Further, from February 15, 2020 through the Retirement Date (as defined below), Executive will remain an employee of the Company in an advisory and transitionary capacity as set forth herein for services as requested by the Chief Executive Officer.</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B. Executive and the Company want to end their relationship amicably and also to establish the obligations of the parties including, without limitation, the transition of Executive’s duties and all amounts due and owing to Executive.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and agreements hereinafter set forth, the parties agree as follows:</w:t>
      </w:r>
    </w:p>
    <w:p>
      <w:pPr>
        <w:spacing w:after="0" w:line="225" w:lineRule="exact"/>
        <w:rPr>
          <w:sz w:val="20"/>
          <w:szCs w:val="20"/>
          <w:color w:val="auto"/>
        </w:rPr>
      </w:pPr>
    </w:p>
    <w:p>
      <w:pPr>
        <w:jc w:val="both"/>
        <w:ind w:firstLine="1304"/>
        <w:spacing w:after="0" w:line="284" w:lineRule="auto"/>
        <w:tabs>
          <w:tab w:leader="none" w:pos="2079"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Retirement Date</w:t>
      </w:r>
      <w:r>
        <w:rPr>
          <w:rFonts w:ascii="Arial" w:cs="Arial" w:eastAsia="Arial" w:hAnsi="Arial"/>
          <w:sz w:val="16"/>
          <w:szCs w:val="16"/>
          <w:color w:val="auto"/>
        </w:rPr>
        <w:t>. The Company and Executive acknowledge and agree that Executive’s status as an employee of the Company shall continue until the earliest of (i) February 1, 2021 (the “</w:t>
      </w:r>
      <w:r>
        <w:rPr>
          <w:rFonts w:ascii="Arial" w:cs="Arial" w:eastAsia="Arial" w:hAnsi="Arial"/>
          <w:sz w:val="16"/>
          <w:szCs w:val="16"/>
          <w:u w:val="single" w:color="auto"/>
          <w:color w:val="auto"/>
        </w:rPr>
        <w:t>Planned Retirement Date</w:t>
      </w:r>
      <w:r>
        <w:rPr>
          <w:rFonts w:ascii="Arial" w:cs="Arial" w:eastAsia="Arial" w:hAnsi="Arial"/>
          <w:sz w:val="16"/>
          <w:szCs w:val="16"/>
          <w:color w:val="auto"/>
        </w:rPr>
        <w:t>”), (ii) the date Executive voluntarily terminates his employment with the Company or (iii) the date Executive takes any action that constitutes Cause (as defined below) (such earliest date, the “</w:t>
      </w:r>
      <w:r>
        <w:rPr>
          <w:rFonts w:ascii="Arial" w:cs="Arial" w:eastAsia="Arial" w:hAnsi="Arial"/>
          <w:sz w:val="16"/>
          <w:szCs w:val="16"/>
          <w:u w:val="single" w:color="auto"/>
          <w:color w:val="auto"/>
        </w:rPr>
        <w:t>Retirement Date</w:t>
      </w:r>
      <w:r>
        <w:rPr>
          <w:rFonts w:ascii="Arial" w:cs="Arial" w:eastAsia="Arial" w:hAnsi="Arial"/>
          <w:sz w:val="16"/>
          <w:szCs w:val="16"/>
          <w:color w:val="auto"/>
        </w:rPr>
        <w:t>”). For the purposes of this Agreement, “Cause” shall mean (A) Executive’s unauthorized use or disclosure of confidential information or trade secrets of the Company or any breach of the Proprietary Information and Invention Assignment Agreement entered into between Executive and the Company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xml:space="preserve">”); (B) Executive’s commission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under the laws of the United States or any state thereof or any crime involving dishonesty or moral turpitude; or (C) any act of fraud or embezzlement committed by Executive against the Company.</w:t>
      </w:r>
    </w:p>
    <w:p>
      <w:pPr>
        <w:spacing w:after="0" w:line="2" w:lineRule="exact"/>
        <w:rPr>
          <w:rFonts w:ascii="Arial" w:cs="Arial" w:eastAsia="Arial" w:hAnsi="Arial"/>
          <w:sz w:val="16"/>
          <w:szCs w:val="16"/>
          <w:color w:val="auto"/>
        </w:rPr>
      </w:pPr>
    </w:p>
    <w:p>
      <w:pPr>
        <w:ind w:left="2080" w:hanging="776"/>
        <w:spacing w:after="0"/>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Continued Employment</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760" w:firstLine="1300"/>
        <w:spacing w:after="0" w:line="281" w:lineRule="auto"/>
        <w:tabs>
          <w:tab w:leader="none" w:pos="2766"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Transition Period</w:t>
      </w:r>
      <w:r>
        <w:rPr>
          <w:rFonts w:ascii="Arial" w:cs="Arial" w:eastAsia="Arial" w:hAnsi="Arial"/>
          <w:sz w:val="16"/>
          <w:szCs w:val="16"/>
          <w:color w:val="auto"/>
        </w:rPr>
        <w:t>. From February 15, 2020 through the Retirement Date (the “</w:t>
      </w:r>
      <w:r>
        <w:rPr>
          <w:rFonts w:ascii="Arial" w:cs="Arial" w:eastAsia="Arial" w:hAnsi="Arial"/>
          <w:sz w:val="16"/>
          <w:szCs w:val="16"/>
          <w:u w:val="single" w:color="auto"/>
          <w:color w:val="auto"/>
        </w:rPr>
        <w:t>Transition Period</w:t>
      </w:r>
      <w:r>
        <w:rPr>
          <w:rFonts w:ascii="Arial" w:cs="Arial" w:eastAsia="Arial" w:hAnsi="Arial"/>
          <w:sz w:val="16"/>
          <w:szCs w:val="16"/>
          <w:color w:val="auto"/>
        </w:rPr>
        <w:t>”), Executive shall</w:t>
      </w:r>
      <w:r>
        <w:rPr>
          <w:rFonts w:ascii="Arial" w:cs="Arial" w:eastAsia="Arial" w:hAnsi="Arial"/>
          <w:sz w:val="16"/>
          <w:szCs w:val="16"/>
          <w:i w:val="1"/>
          <w:iCs w:val="1"/>
          <w:color w:val="auto"/>
        </w:rPr>
        <w:t xml:space="preserve"> </w:t>
      </w:r>
      <w:r>
        <w:rPr>
          <w:rFonts w:ascii="Arial" w:cs="Arial" w:eastAsia="Arial" w:hAnsi="Arial"/>
          <w:sz w:val="16"/>
          <w:szCs w:val="16"/>
          <w:color w:val="auto"/>
        </w:rPr>
        <w:t>remain employed by the Company as Special Legal Adviser to the Chief Executive Officer of the Company reporting to the Chief Executive Officer, and Executive shall provide transition services on an as-needed basis in Executive’s areas of expertise and work experience and responsibility, solely at the request of the Chief Executive Officer. It is expected that the transition services will take substantially all of Executive’s business time prior to March 1, 2020, and Executive will continue to report to the Company’s offices through such date. After March 1, 2020, Executive shall not report to the offices of the Company unless requested reasonably in advance by the Chief Executive Officer.</w:t>
      </w:r>
    </w:p>
    <w:p>
      <w:pPr>
        <w:spacing w:after="0" w:line="3" w:lineRule="exact"/>
        <w:rPr>
          <w:rFonts w:ascii="Arial" w:cs="Arial" w:eastAsia="Arial" w:hAnsi="Arial"/>
          <w:sz w:val="16"/>
          <w:szCs w:val="16"/>
          <w:color w:val="auto"/>
        </w:rPr>
      </w:pPr>
    </w:p>
    <w:p>
      <w:pPr>
        <w:jc w:val="both"/>
        <w:ind w:left="760" w:firstLine="1300"/>
        <w:spacing w:after="0" w:line="250" w:lineRule="auto"/>
        <w:tabs>
          <w:tab w:leader="none" w:pos="2816"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Salary and Benefits Continuation</w:t>
      </w:r>
      <w:r>
        <w:rPr>
          <w:rFonts w:ascii="Arial" w:cs="Arial" w:eastAsia="Arial" w:hAnsi="Arial"/>
          <w:sz w:val="18"/>
          <w:szCs w:val="18"/>
          <w:color w:val="auto"/>
        </w:rPr>
        <w:t>. During the Transition Period, Executive will continue to be paid base salary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in effect on the date of this Agreement and continue to be eligible for (i) the employee benefit plans made available to similarly situated employees of the Company on the terms and conditions set forth in such employee benefit plans, and (ii) the perquisites extended to Executive prior to his transition. All payments made to Executive during the Transition Period will be subject to any required withholding taxes and authorized deductions.</w:t>
      </w:r>
    </w:p>
    <w:p>
      <w:pPr>
        <w:spacing w:after="0" w:line="1" w:lineRule="exact"/>
        <w:rPr>
          <w:rFonts w:ascii="Arial" w:cs="Arial" w:eastAsia="Arial" w:hAnsi="Arial"/>
          <w:sz w:val="18"/>
          <w:szCs w:val="18"/>
          <w:color w:val="auto"/>
        </w:rPr>
      </w:pPr>
    </w:p>
    <w:p>
      <w:pPr>
        <w:jc w:val="both"/>
        <w:ind w:left="760" w:firstLine="1300"/>
        <w:spacing w:after="0" w:line="265" w:lineRule="auto"/>
        <w:tabs>
          <w:tab w:leader="none" w:pos="2866"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2020 Bonus</w:t>
      </w:r>
      <w:r>
        <w:rPr>
          <w:rFonts w:ascii="Arial" w:cs="Arial" w:eastAsia="Arial" w:hAnsi="Arial"/>
          <w:sz w:val="17"/>
          <w:szCs w:val="17"/>
          <w:color w:val="auto"/>
        </w:rPr>
        <w:t>. Notwithstanding the terms of the Company’s annual bonus program, in the event the Transition Period</w:t>
      </w:r>
      <w:r>
        <w:rPr>
          <w:rFonts w:ascii="Arial" w:cs="Arial" w:eastAsia="Arial" w:hAnsi="Arial"/>
          <w:sz w:val="17"/>
          <w:szCs w:val="17"/>
          <w:i w:val="1"/>
          <w:iCs w:val="1"/>
          <w:color w:val="auto"/>
        </w:rPr>
        <w:t xml:space="preserve"> </w:t>
      </w:r>
      <w:r>
        <w:rPr>
          <w:rFonts w:ascii="Arial" w:cs="Arial" w:eastAsia="Arial" w:hAnsi="Arial"/>
          <w:sz w:val="17"/>
          <w:szCs w:val="17"/>
          <w:color w:val="auto"/>
        </w:rPr>
        <w:t>ends on the Planned Retirement Date, Executive shall be paid a performance bonus for fiscal year 2020, pro-rated to reflect four months of service during fiscal year 2020, with the amount paid based on actual corporate performance achievement and with any individual or discretionary goals deemed achieved at 100%. Any amount earned will be paid, less required withholding taxes, at the same time related bonuses are paid to other executives and, in any event, no later than March 15, 2021.</w:t>
      </w:r>
    </w:p>
    <w:p>
      <w:pPr>
        <w:jc w:val="both"/>
        <w:ind w:left="760" w:firstLine="1300"/>
        <w:spacing w:after="0" w:line="281" w:lineRule="auto"/>
        <w:tabs>
          <w:tab w:leader="none" w:pos="2856"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During the Transition Period, each outstanding equity award held by Executive shall remain</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and continue to vest in accordance with its terms. Each equity award that is unvested as of the Retirement Date shall thereupon terminate. Each vested stock option held by Executive as of the Retirement Date shall remain exercisable until the earlier of the third anniversary of the Retirement Date or the original expiration date thereof, in each case, in accordance with its terms. Executive acknowledges that to the extent any stock option constitutes an “incentive stock option” within the meaning of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such stock option shall automatically convert to a nonqualified stock option and no longer be eligible for the potentially tax advantages associated with incentive stock options on the three month anniversary of the Retirement Date.</w:t>
      </w:r>
    </w:p>
    <w:p>
      <w:pPr>
        <w:spacing w:after="0" w:line="4" w:lineRule="exact"/>
        <w:rPr>
          <w:rFonts w:ascii="Arial" w:cs="Arial" w:eastAsia="Arial" w:hAnsi="Arial"/>
          <w:sz w:val="16"/>
          <w:szCs w:val="16"/>
          <w:color w:val="auto"/>
        </w:rPr>
      </w:pPr>
    </w:p>
    <w:p>
      <w:pPr>
        <w:ind w:left="760" w:firstLine="1300"/>
        <w:spacing w:after="0" w:line="260" w:lineRule="auto"/>
        <w:tabs>
          <w:tab w:leader="none" w:pos="2806"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Protection of Information</w:t>
      </w:r>
      <w:r>
        <w:rPr>
          <w:rFonts w:ascii="Arial" w:cs="Arial" w:eastAsia="Arial" w:hAnsi="Arial"/>
          <w:sz w:val="18"/>
          <w:szCs w:val="18"/>
          <w:color w:val="auto"/>
        </w:rPr>
        <w:t>. Executive agrees that, during the Transition Period and thereafter, Executive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the purposes of performing Executive’s duties to the Company, seek to obtain any</w:t>
      </w:r>
    </w:p>
    <w:p>
      <w:pPr>
        <w:sectPr>
          <w:pgSz w:w="11900" w:h="16838" w:orient="portrait"/>
          <w:cols w:equalWidth="0" w:num="1">
            <w:col w:w="11240"/>
          </w:cols>
          <w:pgMar w:left="320" w:top="121" w:right="339" w:bottom="1440" w:gutter="0" w:footer="0" w:header="0"/>
        </w:sectPr>
      </w:pPr>
    </w:p>
    <w:bookmarkStart w:id="40" w:name="page41"/>
    <w:bookmarkEnd w:id="40"/>
    <w:p>
      <w:pPr>
        <w:ind w:left="572" w:right="20" w:firstLine="1300"/>
        <w:spacing w:after="0" w:line="258" w:lineRule="auto"/>
        <w:tabs>
          <w:tab w:leader="none" w:pos="2746" w:val="left"/>
        </w:tabs>
        <w:numPr>
          <w:ilvl w:val="4"/>
          <w:numId w:val="28"/>
        </w:numPr>
        <w:rPr>
          <w:rFonts w:ascii="Arial" w:cs="Arial" w:eastAsia="Arial" w:hAnsi="Arial"/>
          <w:sz w:val="18"/>
          <w:szCs w:val="18"/>
          <w:color w:val="auto"/>
        </w:rPr>
      </w:pPr>
      <w:r>
        <w:rPr>
          <w:rFonts w:ascii="Arial" w:cs="Arial" w:eastAsia="Arial" w:hAnsi="Arial"/>
          <w:sz w:val="18"/>
          <w:szCs w:val="18"/>
          <w:color w:val="auto"/>
        </w:rPr>
        <w:t>confidential or proprietary information or materials of the Company. During the Transition Period, Executive reaffirms his commitment to remain in compliance with the Confidentiality Agreement.</w:t>
      </w:r>
    </w:p>
    <w:p>
      <w:pPr>
        <w:spacing w:after="0" w:line="1" w:lineRule="exact"/>
        <w:rPr>
          <w:rFonts w:ascii="Arial" w:cs="Arial" w:eastAsia="Arial" w:hAnsi="Arial"/>
          <w:sz w:val="18"/>
          <w:szCs w:val="18"/>
          <w:color w:val="auto"/>
        </w:rPr>
      </w:pPr>
    </w:p>
    <w:p>
      <w:pPr>
        <w:ind w:left="2612" w:hanging="848"/>
        <w:spacing w:after="0"/>
        <w:tabs>
          <w:tab w:leader="none" w:pos="2612" w:val="left"/>
        </w:tabs>
        <w:numPr>
          <w:ilvl w:val="3"/>
          <w:numId w:val="29"/>
        </w:numPr>
        <w:rPr>
          <w:rFonts w:ascii="Arial" w:cs="Arial" w:eastAsia="Arial" w:hAnsi="Arial"/>
          <w:sz w:val="18"/>
          <w:szCs w:val="18"/>
          <w:color w:val="auto"/>
        </w:rPr>
      </w:pPr>
      <w:r>
        <w:rPr>
          <w:rFonts w:ascii="Arial" w:cs="Arial" w:eastAsia="Arial" w:hAnsi="Arial"/>
          <w:sz w:val="18"/>
          <w:szCs w:val="18"/>
          <w:u w:val="single" w:color="auto"/>
          <w:color w:val="auto"/>
        </w:rPr>
        <w:t>Final Paycheck; Payment of Accrued Wages and Expenses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572" w:firstLine="1300"/>
        <w:spacing w:after="0" w:line="265" w:lineRule="auto"/>
        <w:tabs>
          <w:tab w:leader="none" w:pos="2578" w:val="left"/>
        </w:tabs>
        <w:numPr>
          <w:ilvl w:val="4"/>
          <w:numId w:val="29"/>
        </w:numPr>
        <w:rPr>
          <w:rFonts w:ascii="Arial" w:cs="Arial" w:eastAsia="Arial" w:hAnsi="Arial"/>
          <w:sz w:val="17"/>
          <w:szCs w:val="17"/>
          <w:color w:val="auto"/>
        </w:rPr>
      </w:pPr>
      <w:r>
        <w:rPr>
          <w:rFonts w:ascii="Arial" w:cs="Arial" w:eastAsia="Arial" w:hAnsi="Arial"/>
          <w:sz w:val="17"/>
          <w:szCs w:val="17"/>
          <w:i w:val="1"/>
          <w:iCs w:val="1"/>
          <w:color w:val="auto"/>
        </w:rPr>
        <w:t>Final Paycheck</w:t>
      </w:r>
      <w:r>
        <w:rPr>
          <w:rFonts w:ascii="Arial" w:cs="Arial" w:eastAsia="Arial" w:hAnsi="Arial"/>
          <w:sz w:val="17"/>
          <w:szCs w:val="17"/>
          <w:color w:val="auto"/>
        </w:rPr>
        <w:t>. As soon as administratively practicable on or after the Retirement Date, the Company will pay</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all accrued but unpaid base salary and all accrued and unused vacation earned through the Retirement Date, subject to standard payroll deductions and withholdings. Executive is entitled to these payments regardless of whether Executive executes this Agreement.</w:t>
      </w:r>
    </w:p>
    <w:p>
      <w:pPr>
        <w:jc w:val="both"/>
        <w:ind w:left="572" w:firstLine="1300"/>
        <w:spacing w:after="0" w:line="250" w:lineRule="auto"/>
        <w:tabs>
          <w:tab w:leader="none" w:pos="2628" w:val="left"/>
        </w:tabs>
        <w:numPr>
          <w:ilvl w:val="4"/>
          <w:numId w:val="29"/>
        </w:numPr>
        <w:rPr>
          <w:rFonts w:ascii="Arial" w:cs="Arial" w:eastAsia="Arial" w:hAnsi="Arial"/>
          <w:sz w:val="18"/>
          <w:szCs w:val="18"/>
          <w:color w:val="auto"/>
        </w:rPr>
      </w:pPr>
      <w:r>
        <w:rPr>
          <w:rFonts w:ascii="Arial" w:cs="Arial" w:eastAsia="Arial" w:hAnsi="Arial"/>
          <w:sz w:val="18"/>
          <w:szCs w:val="18"/>
          <w:i w:val="1"/>
          <w:iCs w:val="1"/>
          <w:color w:val="auto"/>
        </w:rPr>
        <w:t>Business Expenses</w:t>
      </w:r>
      <w:r>
        <w:rPr>
          <w:rFonts w:ascii="Arial" w:cs="Arial" w:eastAsia="Arial" w:hAnsi="Arial"/>
          <w:sz w:val="18"/>
          <w:szCs w:val="18"/>
          <w:color w:val="auto"/>
        </w:rPr>
        <w:t>. The Company shall reimburse Executive for all outstanding expenses incurred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Date which are consistent with the Company’s policies in effect from time to time with respect to travel, entertainment and other business expenses, subject to the Company’s requirements with respect to reporting and documenting such expenses. Executive is entitled to these reimbursements regardless of whether Executive executes this Agreement.</w:t>
      </w:r>
    </w:p>
    <w:p>
      <w:pPr>
        <w:spacing w:after="0" w:line="1" w:lineRule="exact"/>
        <w:rPr>
          <w:rFonts w:ascii="Arial" w:cs="Arial" w:eastAsia="Arial" w:hAnsi="Arial"/>
          <w:sz w:val="18"/>
          <w:szCs w:val="18"/>
          <w:color w:val="auto"/>
        </w:rPr>
      </w:pPr>
    </w:p>
    <w:p>
      <w:pPr>
        <w:jc w:val="both"/>
        <w:ind w:left="-188" w:firstLine="1304"/>
        <w:spacing w:after="0" w:line="250" w:lineRule="auto"/>
        <w:tabs>
          <w:tab w:leader="none" w:pos="1891"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Full Payment</w:t>
      </w:r>
      <w:r>
        <w:rPr>
          <w:rFonts w:ascii="Arial" w:cs="Arial" w:eastAsia="Arial" w:hAnsi="Arial"/>
          <w:sz w:val="18"/>
          <w:szCs w:val="18"/>
          <w:color w:val="auto"/>
        </w:rPr>
        <w:t>. Executive acknowledges that the payment and arrangements herein shall constitute full and complete satisfaction of any and all amounts properly due and owing to Executive as a result of Executive’s employment with the Company and the termination thereof. Executive further acknowledges that, other than the Confidentiality Agreement and agreements evidencing Executive’s equity awards, this Agreement shall supersede each agreement entered into between Executive and the Company regarding Executive’s employment, including, without limitation, Executive’s change in control severance agreement, and each such agreement shall be deemed terminated and of no further effect as of the Effective Date.</w:t>
      </w:r>
    </w:p>
    <w:p>
      <w:pPr>
        <w:spacing w:after="0" w:line="2" w:lineRule="exact"/>
        <w:rPr>
          <w:rFonts w:ascii="Arial" w:cs="Arial" w:eastAsia="Arial" w:hAnsi="Arial"/>
          <w:sz w:val="18"/>
          <w:szCs w:val="18"/>
          <w:color w:val="auto"/>
        </w:rPr>
      </w:pPr>
    </w:p>
    <w:p>
      <w:pPr>
        <w:jc w:val="both"/>
        <w:ind w:left="-188" w:firstLine="1304"/>
        <w:spacing w:after="0" w:line="250" w:lineRule="auto"/>
        <w:tabs>
          <w:tab w:leader="none" w:pos="1891"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Executive’s Release of the Company</w:t>
      </w:r>
      <w:r>
        <w:rPr>
          <w:rFonts w:ascii="Arial" w:cs="Arial" w:eastAsia="Arial" w:hAnsi="Arial"/>
          <w:sz w:val="18"/>
          <w:szCs w:val="18"/>
          <w:color w:val="auto"/>
        </w:rPr>
        <w:t>. Executive understands that by agreeing to the release provided by this Section 5, Executive is agreeing not to sue, or otherwise file any claim against, the Company or any of its employees or other agents for any reason whatsoever based on anything that has occurred as of the date Executive signs this Agreement.</w:t>
      </w:r>
    </w:p>
    <w:p>
      <w:pPr>
        <w:spacing w:after="0" w:line="1" w:lineRule="exact"/>
        <w:rPr>
          <w:rFonts w:ascii="Arial" w:cs="Arial" w:eastAsia="Arial" w:hAnsi="Arial"/>
          <w:sz w:val="18"/>
          <w:szCs w:val="18"/>
          <w:color w:val="auto"/>
        </w:rPr>
      </w:pPr>
    </w:p>
    <w:p>
      <w:pPr>
        <w:jc w:val="both"/>
        <w:ind w:left="-68" w:firstLine="1292"/>
        <w:spacing w:after="0" w:line="281" w:lineRule="auto"/>
        <w:tabs>
          <w:tab w:leader="none" w:pos="1968" w:val="left"/>
        </w:tabs>
        <w:numPr>
          <w:ilvl w:val="2"/>
          <w:numId w:val="30"/>
        </w:numPr>
        <w:rPr>
          <w:rFonts w:ascii="Arial" w:cs="Arial" w:eastAsia="Arial" w:hAnsi="Arial"/>
          <w:sz w:val="16"/>
          <w:szCs w:val="16"/>
          <w:color w:val="auto"/>
        </w:rPr>
      </w:pPr>
      <w:r>
        <w:rPr>
          <w:rFonts w:ascii="Arial" w:cs="Arial" w:eastAsia="Arial" w:hAnsi="Arial"/>
          <w:sz w:val="16"/>
          <w:szCs w:val="16"/>
          <w:color w:val="auto"/>
        </w:rPr>
        <w:t>On behalf of Executive and Executive’s heirs, assigns, executors, administrators, trusts, spouse and estate, Executive hereby releases and forever discharges the “</w:t>
      </w:r>
      <w:r>
        <w:rPr>
          <w:rFonts w:ascii="Arial" w:cs="Arial" w:eastAsia="Arial" w:hAnsi="Arial"/>
          <w:sz w:val="16"/>
          <w:szCs w:val="16"/>
          <w:u w:val="single" w:color="auto"/>
          <w:color w:val="auto"/>
        </w:rPr>
        <w:t>Releasees</w:t>
      </w:r>
      <w:r>
        <w:rPr>
          <w:rFonts w:ascii="Arial" w:cs="Arial" w:eastAsia="Arial" w:hAnsi="Arial"/>
          <w:sz w:val="16"/>
          <w:szCs w:val="16"/>
          <w:color w:val="auto"/>
        </w:rPr>
        <w:t>” hereunder, consisting of the Company and each of its owners, affiliates, subsidiaries,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6"/>
          <w:szCs w:val="16"/>
          <w:u w:val="single" w:color="auto"/>
          <w:color w:val="auto"/>
        </w:rPr>
        <w:t>Claims</w:t>
      </w:r>
      <w:r>
        <w:rPr>
          <w:rFonts w:ascii="Arial" w:cs="Arial" w:eastAsia="Arial" w:hAnsi="Arial"/>
          <w:sz w:val="16"/>
          <w:szCs w:val="16"/>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Claims arising under federal, state, or local laws relating to employment, Claims of any kind that may be brought in any court or administrative agency, including any Claims arising under Title VII of the Civil Rights Act of 1964, as amended, 42 U.S.C. § 2000, et seq.; Americans with Disabilities Act, as amended, 42 U.S.C. § 12101 et seq.; the Rehabilitation Act of 1973, as amended, 29 U.S.C. § 701 et seq.; Civil Rights Act of 1866, and Civil Rights Act of 1991; 42 U.S.C. § 1981, et seq.; Equal Pay Act, as amended, 29 U.S.C. §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the Worker Adjustment and Retraining Notification Act, as amended, 29 U.S.C.</w:t>
      </w:r>
    </w:p>
    <w:p>
      <w:pPr>
        <w:spacing w:after="0" w:line="8" w:lineRule="exact"/>
        <w:rPr>
          <w:rFonts w:ascii="Arial" w:cs="Arial" w:eastAsia="Arial" w:hAnsi="Arial"/>
          <w:sz w:val="16"/>
          <w:szCs w:val="16"/>
          <w:color w:val="auto"/>
        </w:rPr>
      </w:pPr>
    </w:p>
    <w:p>
      <w:pPr>
        <w:jc w:val="both"/>
        <w:ind w:left="-68" w:firstLine="68"/>
        <w:spacing w:after="0" w:line="250" w:lineRule="auto"/>
        <w:tabs>
          <w:tab w:leader="none" w:pos="1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2101 et seq.; the California Fair Employment and Housing Act, as amended, Cal. Lab. Code § 12940 et seq.; the California Equal Pay Law, as amended, Cal. Lab. Code §§ 1197.5(a),199.5; the Moore-Brown-Roberti Family Rights Act of 1991, as amended, Cal. Gov’t Code §§12945.2, 19702.3; California Labor Code §§ 1101, 1102; the California WARN Act, California Labor Code §§ 1400 et. seq; California Labor Code §§ 1102.5(a),(b); claims for wages under the California Labor Code and any other federal, state or local laws of similar effect; the employment and civil rights laws of California;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3" w:lineRule="exact"/>
        <w:rPr>
          <w:rFonts w:ascii="Arial" w:cs="Arial" w:eastAsia="Arial" w:hAnsi="Arial"/>
          <w:sz w:val="18"/>
          <w:szCs w:val="18"/>
          <w:color w:val="auto"/>
        </w:rPr>
      </w:pPr>
    </w:p>
    <w:p>
      <w:pPr>
        <w:ind w:left="1972" w:hanging="748"/>
        <w:spacing w:after="0"/>
        <w:tabs>
          <w:tab w:leader="none" w:pos="1972" w:val="left"/>
        </w:tabs>
        <w:numPr>
          <w:ilvl w:val="2"/>
          <w:numId w:val="31"/>
        </w:numPr>
        <w:rPr>
          <w:rFonts w:ascii="Arial" w:cs="Arial" w:eastAsia="Arial" w:hAnsi="Arial"/>
          <w:sz w:val="18"/>
          <w:szCs w:val="18"/>
          <w:color w:val="auto"/>
        </w:rPr>
      </w:pPr>
      <w:r>
        <w:rPr>
          <w:rFonts w:ascii="Arial" w:cs="Arial" w:eastAsia="Arial" w:hAnsi="Arial"/>
          <w:sz w:val="18"/>
          <w:szCs w:val="18"/>
          <w:color w:val="auto"/>
        </w:rPr>
        <w:t>Notwithstanding the generality of the foregoing, Executive does not release the following claims:</w:t>
      </w:r>
    </w:p>
    <w:p>
      <w:pPr>
        <w:spacing w:after="0" w:line="9" w:lineRule="exact"/>
        <w:rPr>
          <w:rFonts w:ascii="Arial" w:cs="Arial" w:eastAsia="Arial" w:hAnsi="Arial"/>
          <w:sz w:val="18"/>
          <w:szCs w:val="18"/>
          <w:color w:val="auto"/>
        </w:rPr>
      </w:pPr>
    </w:p>
    <w:p>
      <w:pPr>
        <w:ind w:left="2572" w:hanging="808"/>
        <w:spacing w:after="0"/>
        <w:tabs>
          <w:tab w:leader="none" w:pos="2572" w:val="left"/>
        </w:tabs>
        <w:numPr>
          <w:ilvl w:val="3"/>
          <w:numId w:val="31"/>
        </w:numPr>
        <w:rPr>
          <w:rFonts w:ascii="Arial" w:cs="Arial" w:eastAsia="Arial" w:hAnsi="Arial"/>
          <w:sz w:val="16"/>
          <w:szCs w:val="16"/>
          <w:color w:val="auto"/>
        </w:rPr>
      </w:pPr>
      <w:r>
        <w:rPr>
          <w:rFonts w:ascii="Arial" w:cs="Arial" w:eastAsia="Arial" w:hAnsi="Arial"/>
          <w:sz w:val="16"/>
          <w:szCs w:val="16"/>
          <w:color w:val="auto"/>
        </w:rPr>
        <w:t>Claims for unemployment compensation or any state disability insurance benefits pursuant to the terms of applicable</w:t>
      </w:r>
    </w:p>
    <w:p>
      <w:pPr>
        <w:spacing w:after="0" w:line="32" w:lineRule="exact"/>
        <w:rPr>
          <w:rFonts w:ascii="Arial" w:cs="Arial" w:eastAsia="Arial" w:hAnsi="Arial"/>
          <w:sz w:val="16"/>
          <w:szCs w:val="16"/>
          <w:color w:val="auto"/>
        </w:rPr>
      </w:pPr>
    </w:p>
    <w:p>
      <w:pPr>
        <w:ind w:left="472"/>
        <w:spacing w:after="0"/>
        <w:rPr>
          <w:rFonts w:ascii="Arial" w:cs="Arial" w:eastAsia="Arial" w:hAnsi="Arial"/>
          <w:sz w:val="16"/>
          <w:szCs w:val="16"/>
          <w:color w:val="auto"/>
        </w:rPr>
      </w:pPr>
      <w:r>
        <w:rPr>
          <w:rFonts w:ascii="Arial" w:cs="Arial" w:eastAsia="Arial" w:hAnsi="Arial"/>
          <w:sz w:val="18"/>
          <w:szCs w:val="18"/>
          <w:color w:val="auto"/>
        </w:rPr>
        <w:t>state law;</w:t>
      </w:r>
    </w:p>
    <w:p>
      <w:pPr>
        <w:spacing w:after="0" w:line="9" w:lineRule="exact"/>
        <w:rPr>
          <w:sz w:val="20"/>
          <w:szCs w:val="20"/>
          <w:color w:val="auto"/>
        </w:rPr>
      </w:pPr>
    </w:p>
    <w:p>
      <w:pPr>
        <w:ind w:left="472" w:firstLine="1292"/>
        <w:spacing w:after="0" w:line="250" w:lineRule="auto"/>
        <w:tabs>
          <w:tab w:leader="none" w:pos="26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Claims for workers’ compensation insurance benefits under the terms of any worker’s compensation insurance policy or fund of the Company;</w:t>
      </w:r>
    </w:p>
    <w:p>
      <w:pPr>
        <w:ind w:left="2672" w:hanging="908"/>
        <w:spacing w:after="0"/>
        <w:tabs>
          <w:tab w:leader="none" w:pos="2672" w:val="left"/>
        </w:tabs>
        <w:numPr>
          <w:ilvl w:val="0"/>
          <w:numId w:val="32"/>
        </w:numPr>
        <w:rPr>
          <w:rFonts w:ascii="Arial" w:cs="Arial" w:eastAsia="Arial" w:hAnsi="Arial"/>
          <w:sz w:val="17"/>
          <w:szCs w:val="17"/>
          <w:color w:val="auto"/>
        </w:rPr>
      </w:pPr>
      <w:r>
        <w:rPr>
          <w:rFonts w:ascii="Arial" w:cs="Arial" w:eastAsia="Arial" w:hAnsi="Arial"/>
          <w:sz w:val="17"/>
          <w:szCs w:val="17"/>
          <w:color w:val="auto"/>
        </w:rPr>
        <w:t>Claims to continued participation in certain of the Company’s group benefit plans pursuant to the terms and</w:t>
      </w:r>
    </w:p>
    <w:p>
      <w:pPr>
        <w:spacing w:after="0" w:line="20" w:lineRule="exact"/>
        <w:rPr>
          <w:rFonts w:ascii="Arial" w:cs="Arial" w:eastAsia="Arial" w:hAnsi="Arial"/>
          <w:sz w:val="17"/>
          <w:szCs w:val="17"/>
          <w:color w:val="auto"/>
        </w:rPr>
      </w:pPr>
    </w:p>
    <w:p>
      <w:pPr>
        <w:ind w:left="472"/>
        <w:spacing w:after="0"/>
        <w:rPr>
          <w:rFonts w:ascii="Arial" w:cs="Arial" w:eastAsia="Arial" w:hAnsi="Arial"/>
          <w:sz w:val="17"/>
          <w:szCs w:val="17"/>
          <w:color w:val="auto"/>
        </w:rPr>
      </w:pPr>
      <w:r>
        <w:rPr>
          <w:rFonts w:ascii="Arial" w:cs="Arial" w:eastAsia="Arial" w:hAnsi="Arial"/>
          <w:sz w:val="18"/>
          <w:szCs w:val="18"/>
          <w:color w:val="auto"/>
        </w:rPr>
        <w:t>conditions of COBRA;</w:t>
      </w:r>
    </w:p>
    <w:p>
      <w:pPr>
        <w:spacing w:after="0" w:line="9" w:lineRule="exact"/>
        <w:rPr>
          <w:rFonts w:ascii="Arial" w:cs="Arial" w:eastAsia="Arial" w:hAnsi="Arial"/>
          <w:sz w:val="17"/>
          <w:szCs w:val="17"/>
          <w:color w:val="auto"/>
        </w:rPr>
      </w:pPr>
    </w:p>
    <w:p>
      <w:pPr>
        <w:ind w:left="472" w:right="20" w:firstLine="1292"/>
        <w:spacing w:after="0" w:line="250" w:lineRule="auto"/>
        <w:tabs>
          <w:tab w:leader="none" w:pos="26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Claims to any benefit entitlements vested as the date of Executive’s employment termination, pursuant to written terms of any Company employee benefit plan;</w:t>
      </w:r>
    </w:p>
    <w:p>
      <w:pPr>
        <w:ind w:left="472" w:firstLine="1292"/>
        <w:spacing w:after="0" w:line="260" w:lineRule="auto"/>
        <w:tabs>
          <w:tab w:leader="none" w:pos="26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Claims for indemnification under any indemnification agreement, the Company’s Bylaws, California Labor Code Section 2802 or any other applicable law; and</w:t>
      </w:r>
    </w:p>
    <w:p>
      <w:pPr>
        <w:sectPr>
          <w:pgSz w:w="11900" w:h="16838" w:orient="portrait"/>
          <w:cols w:equalWidth="0" w:num="1">
            <w:col w:w="11052"/>
          </w:cols>
          <w:pgMar w:left="508" w:top="341" w:right="339" w:bottom="1440" w:gutter="0" w:footer="0" w:header="0"/>
        </w:sectPr>
      </w:pPr>
    </w:p>
    <w:bookmarkStart w:id="41" w:name="page42"/>
    <w:bookmarkEnd w:id="41"/>
    <w:p>
      <w:pPr>
        <w:ind w:left="652" w:firstLine="1292"/>
        <w:spacing w:after="0" w:line="274" w:lineRule="auto"/>
        <w:tabs>
          <w:tab w:leader="none" w:pos="2856"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Executive’s right to bring to the attention of the Equal Employment Opportunity Commission claims of discrimination;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Executive does release Executive’s right to secure any damages for alleged discriminatory treatment.</w:t>
      </w:r>
    </w:p>
    <w:p>
      <w:pPr>
        <w:ind w:left="2152" w:hanging="748"/>
        <w:spacing w:after="0"/>
        <w:tabs>
          <w:tab w:leader="none" w:pos="2152"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Acknowledgement. </w:t>
      </w:r>
      <w:r>
        <w:rPr>
          <w:rFonts w:ascii="Arial" w:cs="Arial" w:eastAsia="Arial" w:hAnsi="Arial"/>
          <w:sz w:val="16"/>
          <w:szCs w:val="16"/>
          <w:color w:val="auto"/>
        </w:rPr>
        <w:t>In accordance with the Older Workers Benefit Protection Act of 1990, Executive has been advised of the</w:t>
      </w:r>
    </w:p>
    <w:p>
      <w:pPr>
        <w:spacing w:after="0" w:line="32" w:lineRule="exact"/>
        <w:rPr>
          <w:rFonts w:ascii="Arial" w:cs="Arial" w:eastAsia="Arial" w:hAnsi="Arial"/>
          <w:sz w:val="16"/>
          <w:szCs w:val="16"/>
          <w:color w:val="auto"/>
        </w:rPr>
      </w:pPr>
    </w:p>
    <w:p>
      <w:pPr>
        <w:ind w:left="112"/>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9" w:lineRule="exact"/>
        <w:rPr>
          <w:rFonts w:ascii="Arial" w:cs="Arial" w:eastAsia="Arial" w:hAnsi="Arial"/>
          <w:sz w:val="16"/>
          <w:szCs w:val="16"/>
          <w:color w:val="auto"/>
        </w:rPr>
      </w:pPr>
    </w:p>
    <w:p>
      <w:pPr>
        <w:ind w:left="2752" w:hanging="808"/>
        <w:spacing w:after="0"/>
        <w:tabs>
          <w:tab w:leader="none" w:pos="27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should consult with an attorney before signing this Agreement;</w:t>
      </w:r>
    </w:p>
    <w:p>
      <w:pPr>
        <w:spacing w:after="0" w:line="9" w:lineRule="exact"/>
        <w:rPr>
          <w:rFonts w:ascii="Arial" w:cs="Arial" w:eastAsia="Arial" w:hAnsi="Arial"/>
          <w:sz w:val="18"/>
          <w:szCs w:val="18"/>
          <w:color w:val="auto"/>
        </w:rPr>
      </w:pPr>
    </w:p>
    <w:p>
      <w:pPr>
        <w:ind w:left="2812" w:hanging="868"/>
        <w:spacing w:after="0"/>
        <w:tabs>
          <w:tab w:leader="none" w:pos="2812"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has been given at least twenty-one (21) days to consider this Agreement;</w:t>
      </w:r>
    </w:p>
    <w:p>
      <w:pPr>
        <w:spacing w:after="0" w:line="9" w:lineRule="exact"/>
        <w:rPr>
          <w:rFonts w:ascii="Arial" w:cs="Arial" w:eastAsia="Arial" w:hAnsi="Arial"/>
          <w:sz w:val="18"/>
          <w:szCs w:val="18"/>
          <w:color w:val="auto"/>
        </w:rPr>
      </w:pPr>
    </w:p>
    <w:p>
      <w:pPr>
        <w:jc w:val="both"/>
        <w:ind w:left="652" w:firstLine="1292"/>
        <w:spacing w:after="0" w:line="265" w:lineRule="auto"/>
        <w:tabs>
          <w:tab w:leader="none" w:pos="2866" w:val="left"/>
        </w:tabs>
        <w:numPr>
          <w:ilvl w:val="1"/>
          <w:numId w:val="34"/>
        </w:numPr>
        <w:rPr>
          <w:rFonts w:ascii="Arial" w:cs="Arial" w:eastAsia="Arial" w:hAnsi="Arial"/>
          <w:sz w:val="17"/>
          <w:szCs w:val="17"/>
          <w:color w:val="auto"/>
        </w:rPr>
      </w:pPr>
      <w:r>
        <w:rPr>
          <w:rFonts w:ascii="Arial" w:cs="Arial" w:eastAsia="Arial" w:hAnsi="Arial"/>
          <w:sz w:val="17"/>
          <w:szCs w:val="17"/>
          <w:color w:val="auto"/>
        </w:rPr>
        <w:t>Executive has seven (7) days after signing this Agreement to revoke it. If Executive wishes to revoke this Agreement, Executive must deliver notice of Executive’s revocation in writing, no later than 5:00 p.m. on the 7th day following Executive’s execution of this Agreement to Glen Sunnergren, Global VP, Human Resources at email: gsunnergren@coopervision.com. Executive understands that if Executive revokes this Agreement, it will be null and void in its entirety, and Executive will not be entitled to any payments or benefits provided in this Agreement, other than as provided in Section 3.</w:t>
      </w:r>
    </w:p>
    <w:p>
      <w:pPr>
        <w:ind w:left="112" w:firstLine="1292"/>
        <w:spacing w:after="0" w:line="250" w:lineRule="auto"/>
        <w:tabs>
          <w:tab w:leader="none" w:pos="21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EXECUTIVE ACKNOWLEDGES THAT EXECUTIVE HAS BEEN ADVISED OF AND IS FAMILIAR WITH THE PROVISIONS OF CALIFORNIA CIVIL CODE SECTION 1542, WHICH PROVIDES AS FOLLOWS:</w:t>
      </w:r>
    </w:p>
    <w:p>
      <w:pPr>
        <w:jc w:val="both"/>
        <w:ind w:left="732" w:right="2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3" w:lineRule="exact"/>
        <w:rPr>
          <w:sz w:val="20"/>
          <w:szCs w:val="20"/>
          <w:color w:val="auto"/>
        </w:rPr>
      </w:pPr>
    </w:p>
    <w:p>
      <w:pPr>
        <w:ind w:left="732"/>
        <w:spacing w:after="0" w:line="277" w:lineRule="auto"/>
        <w:rPr>
          <w:sz w:val="20"/>
          <w:szCs w:val="20"/>
          <w:color w:val="auto"/>
        </w:rPr>
      </w:pPr>
      <w:r>
        <w:rPr>
          <w:rFonts w:ascii="Arial" w:cs="Arial" w:eastAsia="Arial" w:hAnsi="Arial"/>
          <w:sz w:val="18"/>
          <w:szCs w:val="18"/>
          <w:color w:val="auto"/>
        </w:rPr>
        <w:t>BEING AWARE OF SAID CODE SECTION, EXECUTIVE HEREBY EXPRESSLY WAIVES ANY RIGHTS EXECUTIVE MAY HAVE THEREUNDER, AS WELL AS UNDER ANY OTHER STATUTES OR COMMON LAW PRINCIPLES OF SIMILAR EFFECT.</w:t>
      </w:r>
    </w:p>
    <w:p>
      <w:pPr>
        <w:spacing w:after="0" w:line="170" w:lineRule="exact"/>
        <w:rPr>
          <w:sz w:val="20"/>
          <w:szCs w:val="20"/>
          <w:color w:val="auto"/>
        </w:rPr>
      </w:pPr>
    </w:p>
    <w:p>
      <w:pPr>
        <w:ind w:left="2072" w:hanging="776"/>
        <w:spacing w:after="0"/>
        <w:tabs>
          <w:tab w:leader="none" w:pos="207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Non-Disparagement, Transition, and Transfer of Company Property</w:t>
      </w:r>
      <w:r>
        <w:rPr>
          <w:rFonts w:ascii="Arial" w:cs="Arial" w:eastAsia="Arial" w:hAnsi="Arial"/>
          <w:sz w:val="18"/>
          <w:szCs w:val="18"/>
          <w:color w:val="auto"/>
        </w:rPr>
        <w:t>. Executive further agrees that:</w:t>
      </w:r>
    </w:p>
    <w:p>
      <w:pPr>
        <w:spacing w:after="0" w:line="23" w:lineRule="exact"/>
        <w:rPr>
          <w:rFonts w:ascii="Arial" w:cs="Arial" w:eastAsia="Arial" w:hAnsi="Arial"/>
          <w:sz w:val="18"/>
          <w:szCs w:val="18"/>
          <w:color w:val="auto"/>
        </w:rPr>
      </w:pPr>
    </w:p>
    <w:p>
      <w:pPr>
        <w:jc w:val="both"/>
        <w:ind w:left="112" w:firstLine="1292"/>
        <w:spacing w:after="0" w:line="250" w:lineRule="auto"/>
        <w:tabs>
          <w:tab w:leader="none" w:pos="2148" w:val="left"/>
        </w:tabs>
        <w:numPr>
          <w:ilvl w:val="2"/>
          <w:numId w:val="35"/>
        </w:numPr>
        <w:rPr>
          <w:rFonts w:ascii="Arial" w:cs="Arial" w:eastAsia="Arial" w:hAnsi="Arial"/>
          <w:sz w:val="18"/>
          <w:szCs w:val="18"/>
          <w:color w:val="auto"/>
        </w:rPr>
      </w:pPr>
      <w:r>
        <w:rPr>
          <w:rFonts w:ascii="Arial" w:cs="Arial" w:eastAsia="Arial" w:hAnsi="Arial"/>
          <w:sz w:val="18"/>
          <w:szCs w:val="18"/>
          <w:i w:val="1"/>
          <w:iCs w:val="1"/>
          <w:color w:val="auto"/>
        </w:rPr>
        <w:t>Non-Disparagement</w:t>
      </w:r>
      <w:r>
        <w:rPr>
          <w:rFonts w:ascii="Arial" w:cs="Arial" w:eastAsia="Arial" w:hAnsi="Arial"/>
          <w:sz w:val="18"/>
          <w:szCs w:val="18"/>
          <w:color w:val="auto"/>
        </w:rPr>
        <w:t>. Executive agrees that he shall not disparage, criticize or defame the Company, its affiliates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affiliates, directors, officers, agents, partners, stockholders, employees, products, services, technology or business, either publicly or privately. The Company agrees that it shall not, and it shall instruct its officers and directors to not, disparage, criticize or defame Executive, either publicly or privately. Nothing in this Section 6(a) shall have application to any evidence or testimony required by any court, arbitrator or government agency, or any statement otherwise required by law.</w:t>
      </w:r>
    </w:p>
    <w:p>
      <w:pPr>
        <w:spacing w:after="0" w:line="1" w:lineRule="exact"/>
        <w:rPr>
          <w:rFonts w:ascii="Arial" w:cs="Arial" w:eastAsia="Arial" w:hAnsi="Arial"/>
          <w:sz w:val="18"/>
          <w:szCs w:val="18"/>
          <w:color w:val="auto"/>
        </w:rPr>
      </w:pPr>
    </w:p>
    <w:p>
      <w:pPr>
        <w:jc w:val="both"/>
        <w:ind w:left="112" w:firstLine="1292"/>
        <w:spacing w:after="0" w:line="250" w:lineRule="auto"/>
        <w:tabs>
          <w:tab w:leader="none" w:pos="2158" w:val="left"/>
        </w:tabs>
        <w:numPr>
          <w:ilvl w:val="2"/>
          <w:numId w:val="35"/>
        </w:numPr>
        <w:rPr>
          <w:rFonts w:ascii="Arial" w:cs="Arial" w:eastAsia="Arial" w:hAnsi="Arial"/>
          <w:sz w:val="18"/>
          <w:szCs w:val="18"/>
          <w:color w:val="auto"/>
        </w:rPr>
      </w:pPr>
      <w:r>
        <w:rPr>
          <w:rFonts w:ascii="Arial" w:cs="Arial" w:eastAsia="Arial" w:hAnsi="Arial"/>
          <w:sz w:val="18"/>
          <w:szCs w:val="18"/>
          <w:i w:val="1"/>
          <w:iCs w:val="1"/>
          <w:color w:val="auto"/>
        </w:rPr>
        <w:t>Transition</w:t>
      </w:r>
      <w:r>
        <w:rPr>
          <w:rFonts w:ascii="Arial" w:cs="Arial" w:eastAsia="Arial" w:hAnsi="Arial"/>
          <w:sz w:val="18"/>
          <w:szCs w:val="18"/>
          <w:color w:val="auto"/>
        </w:rPr>
        <w:t>. Each of the Company and Executive shall use their respective reasonable efforts to cooperate with each other in</w:t>
      </w:r>
      <w:r>
        <w:rPr>
          <w:rFonts w:ascii="Arial" w:cs="Arial" w:eastAsia="Arial" w:hAnsi="Arial"/>
          <w:sz w:val="18"/>
          <w:szCs w:val="18"/>
          <w:i w:val="1"/>
          <w:iCs w:val="1"/>
          <w:color w:val="auto"/>
        </w:rPr>
        <w:t xml:space="preserve"> </w:t>
      </w:r>
      <w:r>
        <w:rPr>
          <w:rFonts w:ascii="Arial" w:cs="Arial" w:eastAsia="Arial" w:hAnsi="Arial"/>
          <w:sz w:val="18"/>
          <w:szCs w:val="18"/>
          <w:color w:val="auto"/>
        </w:rPr>
        <w:t>good faith to facilitate a smooth transition of Executive’s duties, including but not limited to any announcement, internal or external, of Executive’s retirement.</w:t>
      </w:r>
    </w:p>
    <w:p>
      <w:pPr>
        <w:spacing w:after="0" w:line="1" w:lineRule="exact"/>
        <w:rPr>
          <w:rFonts w:ascii="Arial" w:cs="Arial" w:eastAsia="Arial" w:hAnsi="Arial"/>
          <w:sz w:val="18"/>
          <w:szCs w:val="18"/>
          <w:color w:val="auto"/>
        </w:rPr>
      </w:pPr>
    </w:p>
    <w:p>
      <w:pPr>
        <w:jc w:val="both"/>
        <w:ind w:left="112" w:firstLine="1292"/>
        <w:spacing w:after="0" w:line="250" w:lineRule="auto"/>
        <w:tabs>
          <w:tab w:leader="none" w:pos="2148" w:val="left"/>
        </w:tabs>
        <w:numPr>
          <w:ilvl w:val="2"/>
          <w:numId w:val="35"/>
        </w:numPr>
        <w:rPr>
          <w:rFonts w:ascii="Arial" w:cs="Arial" w:eastAsia="Arial" w:hAnsi="Arial"/>
          <w:sz w:val="18"/>
          <w:szCs w:val="18"/>
          <w:color w:val="auto"/>
        </w:rPr>
      </w:pPr>
      <w:r>
        <w:rPr>
          <w:rFonts w:ascii="Arial" w:cs="Arial" w:eastAsia="Arial" w:hAnsi="Arial"/>
          <w:sz w:val="18"/>
          <w:szCs w:val="18"/>
          <w:i w:val="1"/>
          <w:iCs w:val="1"/>
          <w:color w:val="auto"/>
        </w:rPr>
        <w:t>Return of Company Property</w:t>
      </w:r>
      <w:r>
        <w:rPr>
          <w:rFonts w:ascii="Arial" w:cs="Arial" w:eastAsia="Arial" w:hAnsi="Arial"/>
          <w:sz w:val="18"/>
          <w:szCs w:val="18"/>
          <w:color w:val="auto"/>
        </w:rPr>
        <w:t>. Executive warrants and represents that Executive has turned over to the Company all files,</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memoranda, records, and other documents, and any other physical or personal property that are the property of the Company and that Executive had in Executive’s possession, custody or control. Notwithstanding the foregoing, Executive shall retain his Company provided laptop and mobile phone following the removal or transfer of Company proprietary information housed on such devices, subject to Executive satisfying tax withholding requirements in respect of such devices.</w:t>
      </w:r>
    </w:p>
    <w:p>
      <w:pPr>
        <w:spacing w:after="0" w:line="1" w:lineRule="exact"/>
        <w:rPr>
          <w:rFonts w:ascii="Arial" w:cs="Arial" w:eastAsia="Arial" w:hAnsi="Arial"/>
          <w:sz w:val="18"/>
          <w:szCs w:val="18"/>
          <w:color w:val="auto"/>
        </w:rPr>
      </w:pPr>
    </w:p>
    <w:p>
      <w:pPr>
        <w:jc w:val="both"/>
        <w:ind w:left="-8" w:firstLine="1304"/>
        <w:spacing w:after="0" w:line="281" w:lineRule="auto"/>
        <w:tabs>
          <w:tab w:leader="none" w:pos="2071"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Executive Representations</w:t>
      </w:r>
      <w:r>
        <w:rPr>
          <w:rFonts w:ascii="Arial" w:cs="Arial" w:eastAsia="Arial" w:hAnsi="Arial"/>
          <w:sz w:val="16"/>
          <w:szCs w:val="16"/>
          <w:color w:val="auto"/>
        </w:rPr>
        <w:t>. Executive warrants and represents that (a) Executive has not filed or authorized the filing of any complaints, charges or lawsuits against the Company or any affiliate of the Company with any governmental agency or court, and that if, unbeknownst to Executive, such a complaint, charge or lawsuit has been filed on Executive’s behalf, Executive will immediately cause it to be withdrawn and dismissed,</w:t>
      </w:r>
    </w:p>
    <w:p>
      <w:pPr>
        <w:spacing w:after="0" w:line="1" w:lineRule="exact"/>
        <w:rPr>
          <w:rFonts w:ascii="Arial" w:cs="Arial" w:eastAsia="Arial" w:hAnsi="Arial"/>
          <w:sz w:val="16"/>
          <w:szCs w:val="16"/>
          <w:color w:val="auto"/>
        </w:rPr>
      </w:pPr>
    </w:p>
    <w:p>
      <w:pPr>
        <w:jc w:val="both"/>
        <w:ind w:left="-8" w:firstLine="8"/>
        <w:spacing w:after="0" w:line="265" w:lineRule="auto"/>
        <w:tabs>
          <w:tab w:leader="none" w:pos="261"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Executive has reported all hours worked as of the date of this Agreement and has been paid all compensation, wages, bonuses, commissions, and/or benefits to which Executive may be entitled and no other compensation, wages, bonuses, commissions and/or benefits are due to Executive, except as provided in this Agreement, (c) Executive has no known workplace injuries or occupational diseases and has been provided and/or has not been denied any leave requested under the Family and Medical Leave Act or any similar state law, (d) the execution, delivery and performance of this Agreement by Executive does not and will not conflict with, breach, violate or cause a default under any agreement, contract or instrument to which Executive is a party or any judgment, order or decree to which Executive is subject, and (e) upon the execution and delivery of this Agreement by the Company and Executive, this Agreement will be a valid and binding obligation of Executive, enforceable in accordance with its terms.</w:t>
      </w:r>
    </w:p>
    <w:p>
      <w:pPr>
        <w:spacing w:after="0" w:line="1" w:lineRule="exact"/>
        <w:rPr>
          <w:rFonts w:ascii="Arial" w:cs="Arial" w:eastAsia="Arial" w:hAnsi="Arial"/>
          <w:sz w:val="17"/>
          <w:szCs w:val="17"/>
          <w:color w:val="auto"/>
        </w:rPr>
      </w:pPr>
    </w:p>
    <w:p>
      <w:pPr>
        <w:jc w:val="both"/>
        <w:ind w:left="-8" w:firstLine="1304"/>
        <w:spacing w:after="0" w:line="288" w:lineRule="auto"/>
        <w:tabs>
          <w:tab w:leader="none" w:pos="2071"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No Assignment by Executive</w:t>
      </w:r>
      <w:r>
        <w:rPr>
          <w:rFonts w:ascii="Arial" w:cs="Arial" w:eastAsia="Arial" w:hAnsi="Arial"/>
          <w:sz w:val="16"/>
          <w:szCs w:val="16"/>
          <w:color w:val="auto"/>
        </w:rPr>
        <w:t>.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may be assigned</w:t>
      </w:r>
    </w:p>
    <w:p>
      <w:pPr>
        <w:sectPr>
          <w:pgSz w:w="11900" w:h="16838" w:orient="portrait"/>
          <w:cols w:equalWidth="0" w:num="1">
            <w:col w:w="11232"/>
          </w:cols>
          <w:pgMar w:left="328" w:top="341" w:right="339" w:bottom="1440" w:gutter="0" w:footer="0" w:header="0"/>
        </w:sectPr>
      </w:pPr>
    </w:p>
    <w:bookmarkStart w:id="42" w:name="page43"/>
    <w:bookmarkEnd w:id="42"/>
    <w:p>
      <w:pPr>
        <w:spacing w:after="0" w:line="258" w:lineRule="auto"/>
        <w:rPr>
          <w:sz w:val="20"/>
          <w:szCs w:val="20"/>
          <w:color w:val="auto"/>
        </w:rPr>
      </w:pPr>
      <w:r>
        <w:rPr>
          <w:rFonts w:ascii="Arial" w:cs="Arial" w:eastAsia="Arial" w:hAnsi="Arial"/>
          <w:sz w:val="18"/>
          <w:szCs w:val="18"/>
          <w:color w:val="auto"/>
        </w:rPr>
        <w:t>or transferred by Executive, other than Executive’s rights to payments hereunder, which may be transferred only upon Executive’s death by will or operation of law.</w:t>
      </w:r>
    </w:p>
    <w:p>
      <w:pPr>
        <w:spacing w:after="0" w:line="1" w:lineRule="exact"/>
        <w:rPr>
          <w:sz w:val="20"/>
          <w:szCs w:val="20"/>
          <w:color w:val="auto"/>
        </w:rPr>
      </w:pPr>
    </w:p>
    <w:p>
      <w:pPr>
        <w:jc w:val="both"/>
        <w:ind w:firstLine="1304"/>
        <w:spacing w:after="0" w:line="281" w:lineRule="auto"/>
        <w:tabs>
          <w:tab w:leader="none" w:pos="207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Without limiting the Confidentiality Agreement, Executive hereby agrees that Executive shall not, at any time within the one (1) year period immediately following the Retirement Date, directly or indirectly, either for herself or on behalf of any other person, recruit or otherwise solicit or induce any employee or consultant of the Company to terminate its employment or arrangement with the Company, or otherwise change its relationship with the Company. Notwithstanding the foregoing, nothing herein shall prevent Executive from directly or indirectly hiring any individual who submits a resume or otherwise applies for a position in response to a publicly posted job announcement or otherwise applies for employment with any person with whom Executive may be associated absent any violation of Executive’s obligations pursuant to the preceding sentence.</w:t>
      </w:r>
    </w:p>
    <w:p>
      <w:pPr>
        <w:spacing w:after="0" w:line="3" w:lineRule="exact"/>
        <w:rPr>
          <w:rFonts w:ascii="Arial" w:cs="Arial" w:eastAsia="Arial" w:hAnsi="Arial"/>
          <w:sz w:val="16"/>
          <w:szCs w:val="16"/>
          <w:color w:val="auto"/>
        </w:rPr>
      </w:pPr>
    </w:p>
    <w:p>
      <w:pPr>
        <w:jc w:val="both"/>
        <w:ind w:firstLine="1304"/>
        <w:spacing w:after="0" w:line="250" w:lineRule="auto"/>
        <w:tabs>
          <w:tab w:leader="none" w:pos="207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and the rights of the parties shall be governed by, the laws of the State of California or, where applicable, United States federal law, in each case, without regard to any conflicts of laws provisions or those of any state other than California.</w:t>
      </w:r>
    </w:p>
    <w:p>
      <w:pPr>
        <w:spacing w:after="0" w:line="1" w:lineRule="exact"/>
        <w:rPr>
          <w:rFonts w:ascii="Arial" w:cs="Arial" w:eastAsia="Arial" w:hAnsi="Arial"/>
          <w:sz w:val="18"/>
          <w:szCs w:val="18"/>
          <w:color w:val="auto"/>
        </w:rPr>
      </w:pPr>
    </w:p>
    <w:p>
      <w:pPr>
        <w:jc w:val="both"/>
        <w:ind w:firstLine="1304"/>
        <w:spacing w:after="0" w:line="281" w:lineRule="auto"/>
        <w:tabs>
          <w:tab w:leader="none" w:pos="216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This Agreement, together with the Confidentiality Agreement and the agreements evidencing Executive’s equity awards, comprises the entire agreement between the parties with regard to the subject matter hereof and supersedes, in their entirety, any other agreements between Executive and the Company with regard to the subject matter hereof. Executive acknowledges that there are no other agreements, written, oral or implied, and that Executive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spacing w:after="0" w:line="3" w:lineRule="exact"/>
        <w:rPr>
          <w:rFonts w:ascii="Arial" w:cs="Arial" w:eastAsia="Arial" w:hAnsi="Arial"/>
          <w:sz w:val="16"/>
          <w:szCs w:val="16"/>
          <w:color w:val="auto"/>
        </w:rPr>
      </w:pPr>
    </w:p>
    <w:p>
      <w:pPr>
        <w:jc w:val="both"/>
        <w:ind w:firstLine="1304"/>
        <w:spacing w:after="0" w:line="250" w:lineRule="auto"/>
        <w:tabs>
          <w:tab w:leader="none" w:pos="216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Company Assignment and Successors</w:t>
      </w:r>
      <w:r>
        <w:rPr>
          <w:rFonts w:ascii="Arial" w:cs="Arial" w:eastAsia="Arial" w:hAnsi="Arial"/>
          <w:sz w:val="18"/>
          <w:szCs w:val="18"/>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w:t>
      </w:r>
    </w:p>
    <w:p>
      <w:pPr>
        <w:spacing w:after="0" w:line="1" w:lineRule="exact"/>
        <w:rPr>
          <w:rFonts w:ascii="Arial" w:cs="Arial" w:eastAsia="Arial" w:hAnsi="Arial"/>
          <w:sz w:val="18"/>
          <w:szCs w:val="18"/>
          <w:color w:val="auto"/>
        </w:rPr>
      </w:pPr>
    </w:p>
    <w:p>
      <w:pPr>
        <w:jc w:val="both"/>
        <w:ind w:firstLine="1304"/>
        <w:spacing w:after="0" w:line="265" w:lineRule="auto"/>
        <w:tabs>
          <w:tab w:leader="none" w:pos="216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Maintaining Confidential Information</w:t>
      </w:r>
      <w:r>
        <w:rPr>
          <w:rFonts w:ascii="Arial" w:cs="Arial" w:eastAsia="Arial" w:hAnsi="Arial"/>
          <w:sz w:val="17"/>
          <w:szCs w:val="17"/>
          <w:color w:val="auto"/>
        </w:rPr>
        <w:t>. Executive reaffirms Executive’s obligations under the Confidentiality Agreement. Executive acknowledges and agrees that the benefits provided in Section 3 above shall be subject to Executive’s continued compliance with Executive’s obligations under the Confidentiality Agreement. For the avoidance of doubt, nothing in the Confidentiality Agreement or this Agreement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Executive does not need the prior authorization of the Company to make any such reports or disclosures, and Executive is not required to notify the Company that Executive has made such reports or disclosures. Furthermore, in accordance with 18 U.S.C. § 1833, notwithstanding anything to the contrary in the Confidentiality Agreement or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2" w:lineRule="exact"/>
        <w:rPr>
          <w:rFonts w:ascii="Arial" w:cs="Arial" w:eastAsia="Arial" w:hAnsi="Arial"/>
          <w:sz w:val="17"/>
          <w:szCs w:val="17"/>
          <w:color w:val="auto"/>
        </w:rPr>
      </w:pPr>
    </w:p>
    <w:p>
      <w:pPr>
        <w:jc w:val="both"/>
        <w:ind w:firstLine="1304"/>
        <w:spacing w:after="0" w:line="265" w:lineRule="auto"/>
        <w:tabs>
          <w:tab w:leader="none" w:pos="216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Executive’s Cooperation</w:t>
      </w:r>
      <w:r>
        <w:rPr>
          <w:rFonts w:ascii="Arial" w:cs="Arial" w:eastAsia="Arial" w:hAnsi="Arial"/>
          <w:sz w:val="17"/>
          <w:szCs w:val="17"/>
          <w:color w:val="auto"/>
        </w:rPr>
        <w:t xml:space="preserve">. After the Retirement Date,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Executive’s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Executive’s employment);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request by the Company shall not be unduly burdensome or interfere with Executive’s personal schedule or ability to engage in gainful employment and Executive shall be compensated fairly at prevailing market terms for his cooperation.</w:t>
      </w:r>
    </w:p>
    <w:p>
      <w:pPr>
        <w:spacing w:after="0" w:line="1" w:lineRule="exact"/>
        <w:rPr>
          <w:rFonts w:ascii="Arial" w:cs="Arial" w:eastAsia="Arial" w:hAnsi="Arial"/>
          <w:sz w:val="17"/>
          <w:szCs w:val="17"/>
          <w:color w:val="auto"/>
        </w:rPr>
      </w:pPr>
    </w:p>
    <w:p>
      <w:pPr>
        <w:jc w:val="both"/>
        <w:ind w:firstLine="1304"/>
        <w:spacing w:after="0" w:line="269" w:lineRule="auto"/>
        <w:tabs>
          <w:tab w:leader="none" w:pos="216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the greatest extent permitted under law, to comply with the short-term deferral exemption and the separation pay exemption provided in Section 409A of the Internal Revenue Code of 1986, as amended, and the regulations and other interpretative guidance issued thereunder (“</w:t>
      </w:r>
      <w:r>
        <w:rPr>
          <w:rFonts w:ascii="Arial" w:cs="Arial" w:eastAsia="Arial" w:hAnsi="Arial"/>
          <w:sz w:val="17"/>
          <w:szCs w:val="17"/>
          <w:u w:val="single" w:color="auto"/>
          <w:color w:val="auto"/>
        </w:rPr>
        <w:t>Section 409A</w:t>
      </w:r>
      <w:r>
        <w:rPr>
          <w:rFonts w:ascii="Arial" w:cs="Arial" w:eastAsia="Arial" w:hAnsi="Arial"/>
          <w:sz w:val="17"/>
          <w:szCs w:val="17"/>
          <w:color w:val="auto"/>
        </w:rPr>
        <w:t>”) such that no benefits or payments under this Agreement are subject to Section 409A. Notwithstanding anything herein to the contrary, the timing of any payments under this Agreement shall be made consistent with such exemption. Executive’s right to receive a series of installment payments under this Agreement, if any, shall be treated as a right to receive a series of separate payments. To the extent applicable, this Agreement shall be interpreted in accordance with Section 409A, including without limitation any such regulations or other guidance that may be issued after the Retirement Date. Notwithstanding any provision of this Agreement to</w:t>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18"/>
          <w:szCs w:val="18"/>
          <w:color w:val="auto"/>
        </w:rPr>
        <w:t>the contrary, in the event that the Company determines that any amounts payable hereunder may be subject to Section 409A, the Company may, to the extent permitted under Section 409A cooperate in good faith to adopt such amendments to this Agreement or adopt other appropriate policies and procedures, including amendments and policies with retroactive effect, that the Company determines are necessary or appropriate to avoid the imposition of taxes under Section 409A; provided, however, that this paragraph shall not create an obligation on the part of the Company to adopt any such amendment, policy or procedure or take any such other action, nor shall the Company have any liability for failing to do so. To the extent that any reimbursements payable pursuant to this Agreement are subject to the provisions of Section 409A, such reimbursements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have caused this Transition and Retirement Agreement to be duly executed and delivered as of the date indicated next to their respective signatures below.</w:t>
      </w:r>
    </w:p>
    <w:p>
      <w:pPr>
        <w:spacing w:after="0" w:line="200" w:lineRule="exact"/>
        <w:rPr>
          <w:sz w:val="20"/>
          <w:szCs w:val="20"/>
          <w:color w:val="auto"/>
        </w:rPr>
      </w:pPr>
    </w:p>
    <w:p>
      <w:pPr>
        <w:spacing w:after="0" w:line="34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Date: February 6, 2020</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Randal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5800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5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Randal Golden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80"/>
        <w:spacing w:after="0"/>
        <w:tabs>
          <w:tab w:leader="none" w:pos="6920" w:val="left"/>
        </w:tabs>
        <w:rPr>
          <w:sz w:val="20"/>
          <w:szCs w:val="20"/>
          <w:color w:val="auto"/>
        </w:rPr>
      </w:pPr>
      <w:r>
        <w:rPr>
          <w:rFonts w:ascii="Arial" w:cs="Arial" w:eastAsia="Arial" w:hAnsi="Arial"/>
          <w:sz w:val="18"/>
          <w:szCs w:val="18"/>
          <w:color w:val="auto"/>
        </w:rPr>
        <w:t>Date: February 6, 2020</w:t>
      </w:r>
      <w:r>
        <w:rPr>
          <w:sz w:val="20"/>
          <w:szCs w:val="20"/>
          <w:color w:val="auto"/>
        </w:rPr>
        <w:tab/>
      </w:r>
      <w:r>
        <w:rPr>
          <w:rFonts w:ascii="Arial" w:cs="Arial" w:eastAsia="Arial" w:hAnsi="Arial"/>
          <w:sz w:val="16"/>
          <w:szCs w:val="16"/>
          <w:color w:val="auto"/>
        </w:rPr>
        <w:t>/s/ Glen Sunnergren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5800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7"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Glen Sunnergren</w:t>
      </w:r>
    </w:p>
    <w:p>
      <w:pPr>
        <w:spacing w:after="0" w:line="63"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Global Vice President, Human Resource</w:t>
      </w:r>
    </w:p>
    <w:p>
      <w:pPr>
        <w:sectPr>
          <w:pgSz w:w="11900" w:h="16838" w:orient="portrait"/>
          <w:cols w:equalWidth="0" w:num="1">
            <w:col w:w="11240"/>
          </w:cols>
          <w:pgMar w:left="320" w:top="34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hanging="8"/>
        <w:spacing w:after="0" w:line="263" w:lineRule="auto"/>
        <w:tabs>
          <w:tab w:leader="none" w:pos="5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6, 2020</w:t>
      </w:r>
    </w:p>
    <w:p>
      <w:pPr>
        <w:spacing w:after="0" w:line="6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31750</wp:posOffset>
            </wp:positionV>
            <wp:extent cx="2219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5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hanging="8"/>
        <w:spacing w:after="0" w:line="263" w:lineRule="auto"/>
        <w:tabs>
          <w:tab w:leader="none" w:pos="5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6, 2020</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31750</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Senior Vice President, Chief Financial Officer and</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Quarterly Report on Form 10-Q of The Cooper Companies, Inc. (the “Company”) for the quarterly period ended January 31, 2020, as filed with the Securities and Exchange Commission (the “Report”), fully complies with the requirements of Section 13(a) or 15(d) of the Securities Exchange Act of 1934; and</w:t>
      </w:r>
    </w:p>
    <w:p>
      <w:pPr>
        <w:spacing w:after="0" w:line="185"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20"/>
          <w:szCs w:val="20"/>
          <w:color w:val="auto"/>
        </w:rPr>
        <w:t>the Quarterly Report on Form 10-Q of The Cooper Companies, Inc. (the “Company”) for the quarterly period ended January 31, 2020, as filed with the Securities and Exchange Commission (the “Report”), fully complies with the requirements of Section 13(a) or 15(d) of the Securities Exchange Act of 1934; and</w:t>
      </w:r>
    </w:p>
    <w:p>
      <w:pPr>
        <w:spacing w:after="0" w:line="185"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lvl w:ilvl="1">
      <w:lvlJc w:val="left"/>
      <w:lvlText w:val="(%2)"/>
      <w:numFmt w:val="lowerRoman"/>
      <w:start w:val="1"/>
    </w:lvl>
  </w:abstractNum>
  <w:abstractNum w:abstractNumId="27">
    <w:nsid w:val="419AC24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6"/>
    </w:lvl>
  </w:abstractNum>
  <w:abstractNum w:abstractNumId="28">
    <w:nsid w:val="5577F8E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29">
    <w:nsid w:val="440BADFC"/>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30">
    <w:nsid w:val="507236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lvl w:ilvl="3">
      <w:lvlJc w:val="left"/>
      <w:lvlText w:val="(%4)"/>
      <w:numFmt w:val="lowerLetter"/>
      <w:start w:val="9"/>
    </w:lvl>
    <w:lvl w:ilvl="4">
      <w:lvlJc w:val="left"/>
      <w:lvlText w:val="%5"/>
      <w:numFmt w:val="lowerRoman"/>
      <w:start w:val="1"/>
    </w:lvl>
  </w:abstractNum>
  <w:abstractNum w:abstractNumId="31">
    <w:nsid w:val="3804823E"/>
    <w:multiLevelType w:val="hybridMultilevel"/>
    <w:lvl w:ilvl="0">
      <w:lvlJc w:val="left"/>
      <w:lvlText w:val="(%1)"/>
      <w:numFmt w:val="lowerRoman"/>
      <w:start w:val="2"/>
    </w:lvl>
  </w:abstractNum>
  <w:abstractNum w:abstractNumId="32">
    <w:nsid w:val="77465F01"/>
    <w:multiLevelType w:val="hybridMultilevel"/>
    <w:lvl w:ilvl="0">
      <w:lvlJc w:val="left"/>
      <w:lvlText w:val="%1"/>
      <w:numFmt w:val="lowerLetter"/>
      <w:start w:val="1"/>
    </w:lvl>
    <w:lvl w:ilvl="1">
      <w:lvlJc w:val="left"/>
      <w:lvlText w:val="(%2)"/>
      <w:numFmt w:val="lowerRoman"/>
      <w:start w:val="6"/>
    </w:lvl>
  </w:abstractNum>
  <w:abstractNum w:abstractNumId="33">
    <w:nsid w:val="7724C67E"/>
    <w:multiLevelType w:val="hybridMultilevel"/>
    <w:lvl w:ilvl="0">
      <w:lvlJc w:val="left"/>
      <w:lvlText w:val="(%1)"/>
      <w:numFmt w:val="lowerLetter"/>
      <w:start w:val="3"/>
    </w:lvl>
    <w:lvl w:ilvl="1">
      <w:lvlJc w:val="left"/>
      <w:lvlText w:val="(%2)"/>
      <w:numFmt w:val="lowerRoman"/>
      <w:start w:val="1"/>
    </w:lvl>
  </w:abstractNum>
  <w:abstractNum w:abstractNumId="34">
    <w:nsid w:val="5C482A9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5">
    <w:nsid w:val="2463B9EA"/>
    <w:multiLevelType w:val="hybridMultilevel"/>
    <w:lvl w:ilvl="0">
      <w:lvlJc w:val="left"/>
      <w:lvlText w:val="(%1)"/>
      <w:numFmt w:val="lowerLetter"/>
      <w:start w:val="2"/>
    </w:lvl>
    <w:lvl w:ilvl="1">
      <w:lvlJc w:val="left"/>
      <w:lvlText w:val="%2."/>
      <w:numFmt w:val="decimal"/>
      <w:start w:val="7"/>
    </w:lvl>
    <w:lvl w:ilvl="2">
      <w:lvlJc w:val="left"/>
      <w:lvlText w:val="%3"/>
      <w:numFmt w:val="lowerLetter"/>
      <w:start w:val="1"/>
    </w:lvl>
  </w:abstractNum>
  <w:abstractNum w:abstractNumId="36">
    <w:nsid w:val="5E884ADC"/>
    <w:multiLevelType w:val="hybridMultilevel"/>
    <w:lvl w:ilvl="0">
      <w:lvlJc w:val="left"/>
      <w:lvlText w:val="%1."/>
      <w:numFmt w:val="decimal"/>
      <w:start w:val="8"/>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4" Type="http://schemas.openxmlformats.org/officeDocument/2006/relationships/hyperlink" Target="http://www.sec.gov/Archives/edgar/data/711404/000119312519315153/d8447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2020-03-06T15:20:31Z</dcterms:created>
  <dcterms:modified xsi:type="dcterms:W3CDTF">2020-03-06T15:20:31Z</dcterms:modified>
</cp:coreProperties>
</file>